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69EA" w:rsidR="00E32573" w:rsidP="008469EA" w:rsidRDefault="008469EA" w14:paraId="7F77949B" w14:textId="4B8982AC">
      <w:pPr>
        <w:jc w:val="center"/>
        <w:rPr>
          <w:b/>
          <w:bCs/>
          <w:sz w:val="36"/>
          <w:szCs w:val="36"/>
          <w:u w:val="single"/>
        </w:rPr>
      </w:pPr>
      <w:r w:rsidRPr="008469EA">
        <w:rPr>
          <w:b/>
          <w:bCs/>
          <w:sz w:val="36"/>
          <w:szCs w:val="36"/>
          <w:u w:val="single"/>
        </w:rPr>
        <w:t>Reviews of Listing Decisions</w:t>
      </w:r>
      <w:bookmarkStart w:name="_GoBack" w:id="0"/>
      <w:bookmarkEnd w:id="0"/>
    </w:p>
    <w:tbl>
      <w:tblPr>
        <w:tblStyle w:val="TableGrid"/>
        <w:tblW w:w="14312" w:type="dxa"/>
        <w:tblLook w:val="04A0" w:firstRow="1" w:lastRow="0" w:firstColumn="1" w:lastColumn="0" w:noHBand="0" w:noVBand="1"/>
      </w:tblPr>
      <w:tblGrid>
        <w:gridCol w:w="2635"/>
        <w:gridCol w:w="1671"/>
        <w:gridCol w:w="1785"/>
        <w:gridCol w:w="1417"/>
        <w:gridCol w:w="4678"/>
        <w:gridCol w:w="2126"/>
      </w:tblGrid>
      <w:tr w:rsidR="009356CC" w:rsidTr="28AEF9BF" w14:paraId="2EEA5B0D" w14:textId="05C302F1">
        <w:tc>
          <w:tcPr>
            <w:tcW w:w="2635" w:type="dxa"/>
            <w:shd w:val="clear" w:color="auto" w:fill="D9E2F3" w:themeFill="accent1" w:themeFillTint="33"/>
            <w:tcMar/>
          </w:tcPr>
          <w:p w:rsidR="009356CC" w:rsidRDefault="009356CC" w14:paraId="7FC83AE4" w14:textId="40882CA3">
            <w:r>
              <w:t>Property</w:t>
            </w:r>
          </w:p>
        </w:tc>
        <w:tc>
          <w:tcPr>
            <w:tcW w:w="1671" w:type="dxa"/>
            <w:shd w:val="clear" w:color="auto" w:fill="D9E2F3" w:themeFill="accent1" w:themeFillTint="33"/>
            <w:tcMar/>
          </w:tcPr>
          <w:p w:rsidR="009356CC" w:rsidRDefault="009356CC" w14:paraId="3F8844D3" w14:textId="2DA23E83">
            <w:r>
              <w:t>Date added to the list</w:t>
            </w:r>
          </w:p>
        </w:tc>
        <w:tc>
          <w:tcPr>
            <w:tcW w:w="1785" w:type="dxa"/>
            <w:shd w:val="clear" w:color="auto" w:fill="D9E2F3" w:themeFill="accent1" w:themeFillTint="33"/>
            <w:tcMar/>
          </w:tcPr>
          <w:p w:rsidR="009356CC" w:rsidRDefault="009356CC" w14:paraId="69C52033" w14:textId="4B3DD0F8">
            <w:r>
              <w:t>Date request for review received</w:t>
            </w:r>
          </w:p>
        </w:tc>
        <w:tc>
          <w:tcPr>
            <w:tcW w:w="1417" w:type="dxa"/>
            <w:shd w:val="clear" w:color="auto" w:fill="D9E2F3" w:themeFill="accent1" w:themeFillTint="33"/>
            <w:tcMar/>
          </w:tcPr>
          <w:p w:rsidR="009356CC" w:rsidRDefault="009356CC" w14:paraId="4A7144A8" w14:textId="445D1669">
            <w:r>
              <w:t>Date review determined</w:t>
            </w:r>
          </w:p>
        </w:tc>
        <w:tc>
          <w:tcPr>
            <w:tcW w:w="4678" w:type="dxa"/>
            <w:shd w:val="clear" w:color="auto" w:fill="D9E2F3" w:themeFill="accent1" w:themeFillTint="33"/>
            <w:tcMar/>
          </w:tcPr>
          <w:p w:rsidR="009356CC" w:rsidRDefault="009356CC" w14:paraId="7663ABBB" w14:textId="7DAA3155">
            <w:r>
              <w:t>Grounds for review</w:t>
            </w:r>
          </w:p>
        </w:tc>
        <w:tc>
          <w:tcPr>
            <w:tcW w:w="2126" w:type="dxa"/>
            <w:shd w:val="clear" w:color="auto" w:fill="D9E2F3" w:themeFill="accent1" w:themeFillTint="33"/>
            <w:tcMar/>
          </w:tcPr>
          <w:p w:rsidR="009356CC" w:rsidRDefault="009356CC" w14:paraId="68C028CE" w14:textId="386A8535">
            <w:r>
              <w:t>Outcome of review</w:t>
            </w:r>
          </w:p>
        </w:tc>
      </w:tr>
      <w:tr w:rsidR="009356CC" w:rsidTr="28AEF9BF" w14:paraId="44CE5AC5" w14:textId="382CB44B">
        <w:tc>
          <w:tcPr>
            <w:tcW w:w="2635" w:type="dxa"/>
            <w:tcMar/>
          </w:tcPr>
          <w:p w:rsidR="009356CC" w:rsidRDefault="009356CC" w14:paraId="6FB3D0FF" w14:textId="746A9AB1">
            <w:r w:rsidRPr="009356CC">
              <w:t>The Clifton Hotel, 96 Clifton Hill, London NW8 0JT</w:t>
            </w:r>
          </w:p>
        </w:tc>
        <w:tc>
          <w:tcPr>
            <w:tcW w:w="1671" w:type="dxa"/>
            <w:tcMar/>
          </w:tcPr>
          <w:p w:rsidR="009356CC" w:rsidRDefault="009356CC" w14:paraId="6065A738" w14:textId="1EB81BB4">
            <w:r>
              <w:t>11</w:t>
            </w:r>
            <w:r w:rsidRPr="009356CC">
              <w:rPr>
                <w:vertAlign w:val="superscript"/>
              </w:rPr>
              <w:t>th</w:t>
            </w:r>
            <w:r>
              <w:t xml:space="preserve"> February 2015</w:t>
            </w:r>
          </w:p>
        </w:tc>
        <w:tc>
          <w:tcPr>
            <w:tcW w:w="1785" w:type="dxa"/>
            <w:tcMar/>
          </w:tcPr>
          <w:p w:rsidR="009356CC" w:rsidRDefault="009356CC" w14:paraId="36CCEE6E" w14:textId="12914DB1">
            <w:r>
              <w:t>8</w:t>
            </w:r>
            <w:r w:rsidRPr="009356CC">
              <w:rPr>
                <w:vertAlign w:val="superscript"/>
              </w:rPr>
              <w:t>th</w:t>
            </w:r>
            <w:r>
              <w:t xml:space="preserve"> April 2015</w:t>
            </w:r>
          </w:p>
        </w:tc>
        <w:tc>
          <w:tcPr>
            <w:tcW w:w="1417" w:type="dxa"/>
            <w:tcMar/>
          </w:tcPr>
          <w:p w:rsidR="009356CC" w:rsidRDefault="009356CC" w14:paraId="6EE3B8B1" w14:textId="2F1A0DC9">
            <w:r>
              <w:t>1</w:t>
            </w:r>
            <w:r w:rsidRPr="009356CC">
              <w:rPr>
                <w:vertAlign w:val="superscript"/>
              </w:rPr>
              <w:t>st</w:t>
            </w:r>
            <w:r>
              <w:t xml:space="preserve"> July 2015</w:t>
            </w:r>
          </w:p>
        </w:tc>
        <w:tc>
          <w:tcPr>
            <w:tcW w:w="4678" w:type="dxa"/>
            <w:tcMar/>
          </w:tcPr>
          <w:p w:rsidR="009356CC" w:rsidRDefault="009356CC" w14:paraId="31314A20" w14:textId="5B856D0C">
            <w:r>
              <w:t>Decision not made within 8 weeks, criteria for listing an Asset of Community Value and Hotels are exempt from listing</w:t>
            </w:r>
          </w:p>
        </w:tc>
        <w:tc>
          <w:tcPr>
            <w:tcW w:w="2126" w:type="dxa"/>
            <w:tcMar/>
          </w:tcPr>
          <w:p w:rsidR="009356CC" w:rsidRDefault="009356CC" w14:paraId="4AF56FC9" w14:textId="5546FDD5">
            <w:r>
              <w:t>The decision to list the asset was correct.</w:t>
            </w:r>
          </w:p>
        </w:tc>
      </w:tr>
      <w:tr w:rsidR="009356CC" w:rsidTr="28AEF9BF" w14:paraId="2B779606" w14:textId="6BC808BA">
        <w:tc>
          <w:tcPr>
            <w:tcW w:w="2635" w:type="dxa"/>
            <w:tcMar/>
          </w:tcPr>
          <w:p w:rsidR="009356CC" w:rsidRDefault="00B5478D" w14:paraId="3B7D0EDC" w14:textId="2F11132C">
            <w:r>
              <w:t>The Truscott Arms, 55 Shirland Road, London</w:t>
            </w:r>
            <w:r w:rsidR="00DE305C">
              <w:t>, W9 2JD</w:t>
            </w:r>
          </w:p>
        </w:tc>
        <w:tc>
          <w:tcPr>
            <w:tcW w:w="1671" w:type="dxa"/>
            <w:tcMar/>
          </w:tcPr>
          <w:p w:rsidR="009356CC" w:rsidRDefault="00DE305C" w14:paraId="47AFD8DA" w14:textId="70437808">
            <w:r>
              <w:t>29</w:t>
            </w:r>
            <w:r w:rsidRPr="00DE305C">
              <w:rPr>
                <w:vertAlign w:val="superscript"/>
              </w:rPr>
              <w:t>th</w:t>
            </w:r>
            <w:r>
              <w:t xml:space="preserve"> April 2015</w:t>
            </w:r>
          </w:p>
        </w:tc>
        <w:tc>
          <w:tcPr>
            <w:tcW w:w="1785" w:type="dxa"/>
            <w:tcMar/>
          </w:tcPr>
          <w:p w:rsidR="009356CC" w:rsidRDefault="00DE305C" w14:paraId="401EEF3F" w14:textId="7F0CC4B9">
            <w:r>
              <w:t>23</w:t>
            </w:r>
            <w:r w:rsidRPr="00A931DB" w:rsidR="00A931DB">
              <w:rPr>
                <w:vertAlign w:val="superscript"/>
              </w:rPr>
              <w:t>rd</w:t>
            </w:r>
            <w:r w:rsidR="00A931DB">
              <w:t xml:space="preserve"> </w:t>
            </w:r>
            <w:r>
              <w:t>June 2015</w:t>
            </w:r>
          </w:p>
        </w:tc>
        <w:tc>
          <w:tcPr>
            <w:tcW w:w="1417" w:type="dxa"/>
            <w:tcMar/>
          </w:tcPr>
          <w:p w:rsidR="009356CC" w:rsidRDefault="00DE305C" w14:paraId="7DCD2BBC" w14:textId="5915F591">
            <w:r>
              <w:t>17</w:t>
            </w:r>
            <w:r w:rsidRPr="00A931DB" w:rsidR="00A931DB">
              <w:rPr>
                <w:vertAlign w:val="superscript"/>
              </w:rPr>
              <w:t>th</w:t>
            </w:r>
            <w:r w:rsidR="00A931DB">
              <w:t xml:space="preserve"> </w:t>
            </w:r>
            <w:r>
              <w:t>August 2015</w:t>
            </w:r>
          </w:p>
        </w:tc>
        <w:tc>
          <w:tcPr>
            <w:tcW w:w="4678" w:type="dxa"/>
            <w:tcMar/>
          </w:tcPr>
          <w:p w:rsidR="009356CC" w:rsidRDefault="00DE305C" w14:paraId="4313C20F" w14:textId="43578168">
            <w:r>
              <w:t>The nominator was not eligible</w:t>
            </w:r>
            <w:r w:rsidR="00D07621">
              <w:t>, the asset was not eligible.</w:t>
            </w:r>
          </w:p>
        </w:tc>
        <w:tc>
          <w:tcPr>
            <w:tcW w:w="2126" w:type="dxa"/>
            <w:tcMar/>
          </w:tcPr>
          <w:p w:rsidR="009356CC" w:rsidRDefault="00D07621" w14:paraId="68088F8A" w14:textId="01E82CAB">
            <w:r>
              <w:t>The property was removed from the list</w:t>
            </w:r>
            <w:r w:rsidR="00606485">
              <w:t>.</w:t>
            </w:r>
          </w:p>
        </w:tc>
      </w:tr>
      <w:tr w:rsidR="001A4B0D" w:rsidTr="28AEF9BF" w14:paraId="004AF413" w14:textId="4C0BD707">
        <w:tc>
          <w:tcPr>
            <w:tcW w:w="2635" w:type="dxa"/>
            <w:tcMar/>
          </w:tcPr>
          <w:p w:rsidR="001A4B0D" w:rsidP="001A4B0D" w:rsidRDefault="001A4B0D" w14:paraId="25C32572" w14:textId="008E266E">
            <w:r>
              <w:t>The Swan &amp; Edgar Public House, 43 Linhope Street, London NW1 6LH</w:t>
            </w:r>
          </w:p>
        </w:tc>
        <w:tc>
          <w:tcPr>
            <w:tcW w:w="1671" w:type="dxa"/>
            <w:tcMar/>
          </w:tcPr>
          <w:p w:rsidR="001A4B0D" w:rsidP="001A4B0D" w:rsidRDefault="001A4B0D" w14:paraId="4A8041E8" w14:textId="3E290FD4">
            <w:r>
              <w:t>6</w:t>
            </w:r>
            <w:r w:rsidRPr="00A931DB">
              <w:rPr>
                <w:vertAlign w:val="superscript"/>
              </w:rPr>
              <w:t>th</w:t>
            </w:r>
            <w:r>
              <w:t xml:space="preserve"> May 2015</w:t>
            </w:r>
          </w:p>
        </w:tc>
        <w:tc>
          <w:tcPr>
            <w:tcW w:w="1785" w:type="dxa"/>
            <w:tcMar/>
          </w:tcPr>
          <w:p w:rsidR="001A4B0D" w:rsidP="001A4B0D" w:rsidRDefault="001A4B0D" w14:paraId="356D43AA" w14:textId="318FB562">
            <w:r>
              <w:t>20</w:t>
            </w:r>
            <w:r w:rsidRPr="00A931DB">
              <w:rPr>
                <w:vertAlign w:val="superscript"/>
              </w:rPr>
              <w:t>th</w:t>
            </w:r>
            <w:r>
              <w:t xml:space="preserve"> July 2015</w:t>
            </w:r>
          </w:p>
        </w:tc>
        <w:tc>
          <w:tcPr>
            <w:tcW w:w="1417" w:type="dxa"/>
            <w:tcMar/>
          </w:tcPr>
          <w:p w:rsidR="001A4B0D" w:rsidP="001A4B0D" w:rsidRDefault="001A4B0D" w14:paraId="3BC99731" w14:textId="4CA6CA66">
            <w:r>
              <w:t>11</w:t>
            </w:r>
            <w:r w:rsidRPr="00A931DB">
              <w:rPr>
                <w:vertAlign w:val="superscript"/>
              </w:rPr>
              <w:t>th</w:t>
            </w:r>
            <w:r>
              <w:t xml:space="preserve"> December 2015</w:t>
            </w:r>
          </w:p>
        </w:tc>
        <w:tc>
          <w:tcPr>
            <w:tcW w:w="4678" w:type="dxa"/>
            <w:tcMar/>
          </w:tcPr>
          <w:p w:rsidR="001A4B0D" w:rsidP="001A4B0D" w:rsidRDefault="001A4B0D" w14:paraId="3FBA02C0" w14:textId="3297D7C9">
            <w:r>
              <w:t>Whether there is a time in the recent past when the actual use of the building or other land that was not an ancillary use further the social wellbeing or interests of the local community, whether it is realistic to think that there is a time within the next 5 years when there could be a non-ancillary use that would further the social wellbeing or social interests of the local community</w:t>
            </w:r>
          </w:p>
        </w:tc>
        <w:tc>
          <w:tcPr>
            <w:tcW w:w="2126" w:type="dxa"/>
            <w:tcMar/>
          </w:tcPr>
          <w:p w:rsidR="001A4B0D" w:rsidP="001A4B0D" w:rsidRDefault="001A4B0D" w14:paraId="5E085252" w14:textId="3A42A8AE">
            <w:r>
              <w:t>The decision to list the asset was correct.</w:t>
            </w:r>
          </w:p>
        </w:tc>
      </w:tr>
      <w:tr w:rsidR="0030770D" w:rsidTr="28AEF9BF" w14:paraId="2AA621AF" w14:textId="77777777">
        <w:tc>
          <w:tcPr>
            <w:tcW w:w="2635" w:type="dxa"/>
            <w:tcMar/>
          </w:tcPr>
          <w:p w:rsidR="0030770D" w:rsidP="001A4B0D" w:rsidRDefault="0030770D" w14:paraId="40A72C45" w14:textId="219C6406">
            <w:r>
              <w:t>Prince of Wales Public House, 351 Harrow Road London, W9 3RS</w:t>
            </w:r>
          </w:p>
        </w:tc>
        <w:tc>
          <w:tcPr>
            <w:tcW w:w="1671" w:type="dxa"/>
            <w:tcMar/>
          </w:tcPr>
          <w:p w:rsidR="0030770D" w:rsidP="001A4B0D" w:rsidRDefault="0030770D" w14:paraId="685A34FF" w14:textId="2227766C">
            <w:r>
              <w:t>27</w:t>
            </w:r>
            <w:r w:rsidRPr="0030770D">
              <w:rPr>
                <w:vertAlign w:val="superscript"/>
              </w:rPr>
              <w:t>th</w:t>
            </w:r>
            <w:r>
              <w:t xml:space="preserve"> N</w:t>
            </w:r>
            <w:r w:rsidR="008A2A3A">
              <w:t>ovember 2015</w:t>
            </w:r>
          </w:p>
        </w:tc>
        <w:tc>
          <w:tcPr>
            <w:tcW w:w="1785" w:type="dxa"/>
            <w:tcMar/>
          </w:tcPr>
          <w:p w:rsidR="0030770D" w:rsidP="001A4B0D" w:rsidRDefault="008A2A3A" w14:paraId="67B003FC" w14:textId="37B792D7">
            <w:r>
              <w:t>22</w:t>
            </w:r>
            <w:r w:rsidRPr="008A2A3A">
              <w:rPr>
                <w:vertAlign w:val="superscript"/>
              </w:rPr>
              <w:t>nd</w:t>
            </w:r>
            <w:r>
              <w:t xml:space="preserve"> December 2015</w:t>
            </w:r>
          </w:p>
        </w:tc>
        <w:tc>
          <w:tcPr>
            <w:tcW w:w="1417" w:type="dxa"/>
            <w:tcMar/>
          </w:tcPr>
          <w:p w:rsidR="0030770D" w:rsidP="001A4B0D" w:rsidRDefault="008A2A3A" w14:paraId="6695C338" w14:textId="64374D69">
            <w:r>
              <w:t>6</w:t>
            </w:r>
            <w:r w:rsidRPr="008A2A3A">
              <w:rPr>
                <w:vertAlign w:val="superscript"/>
              </w:rPr>
              <w:t>th</w:t>
            </w:r>
            <w:r>
              <w:t xml:space="preserve"> June 2016</w:t>
            </w:r>
          </w:p>
        </w:tc>
        <w:tc>
          <w:tcPr>
            <w:tcW w:w="4678" w:type="dxa"/>
            <w:tcMar/>
          </w:tcPr>
          <w:p w:rsidR="00456A48" w:rsidP="00456A48" w:rsidRDefault="00456A48" w14:paraId="30C7312B" w14:textId="2C44244E">
            <w:r>
              <w:t>T</w:t>
            </w:r>
            <w:r>
              <w:t>he Original Decision Maker took certain matters into account which should not have been taken into account when reaching his decision;</w:t>
            </w:r>
          </w:p>
          <w:p w:rsidR="0030770D" w:rsidP="00456A48" w:rsidRDefault="00456A48" w14:paraId="1A6F3208" w14:textId="02FCB9B8">
            <w:r>
              <w:t>there is insufficient evidence that the whole of the Property is of a “community value” and therefore the application fails to satisfy Section 88 (2)(a) of the Act; and the Nominator has failed to establish that it is realistic to think that there is a time in the next five years that there could be a use of the Property which furthers the social wellbeing or interests of the local community; and</w:t>
            </w:r>
            <w:r w:rsidR="00117CA0">
              <w:t>.  I</w:t>
            </w:r>
            <w:r>
              <w:t xml:space="preserve">n the alternative, the Owner submits that the upper floors of the Property should not be listed as planning permission has been granted to </w:t>
            </w:r>
            <w:r>
              <w:lastRenderedPageBreak/>
              <w:t>create 6 new residential flats and the Owner is implementing that planning permission.</w:t>
            </w:r>
          </w:p>
        </w:tc>
        <w:tc>
          <w:tcPr>
            <w:tcW w:w="2126" w:type="dxa"/>
            <w:tcMar/>
          </w:tcPr>
          <w:p w:rsidR="0030770D" w:rsidP="001A4B0D" w:rsidRDefault="00606485" w14:paraId="36DF2BF5" w14:textId="62A463B7">
            <w:r>
              <w:lastRenderedPageBreak/>
              <w:t>The property was removed from the list.</w:t>
            </w:r>
          </w:p>
        </w:tc>
      </w:tr>
      <w:tr w:rsidR="00606485" w:rsidTr="28AEF9BF" w14:paraId="3C48B556" w14:textId="77777777">
        <w:tc>
          <w:tcPr>
            <w:tcW w:w="2635" w:type="dxa"/>
            <w:tcMar/>
          </w:tcPr>
          <w:p w:rsidR="00606485" w:rsidP="001A4B0D" w:rsidRDefault="00A22CBD" w14:paraId="251DF120" w14:textId="1D086143">
            <w:r>
              <w:t>143 – 145 Strand, London, WC2R 1JA</w:t>
            </w:r>
          </w:p>
        </w:tc>
        <w:tc>
          <w:tcPr>
            <w:tcW w:w="1671" w:type="dxa"/>
            <w:tcMar/>
          </w:tcPr>
          <w:p w:rsidR="00606485" w:rsidP="001A4B0D" w:rsidRDefault="00A22CBD" w14:paraId="08B80F1A" w14:textId="2B59BDCE">
            <w:r>
              <w:t>2</w:t>
            </w:r>
            <w:r w:rsidRPr="00A22CBD">
              <w:rPr>
                <w:vertAlign w:val="superscript"/>
              </w:rPr>
              <w:t>nd</w:t>
            </w:r>
            <w:r>
              <w:t xml:space="preserve"> November 2018</w:t>
            </w:r>
          </w:p>
        </w:tc>
        <w:tc>
          <w:tcPr>
            <w:tcW w:w="1785" w:type="dxa"/>
            <w:tcMar/>
          </w:tcPr>
          <w:p w:rsidR="00606485" w:rsidP="001A4B0D" w:rsidRDefault="007612ED" w14:paraId="18280DF2" w14:textId="2126467F">
            <w:r>
              <w:t>14</w:t>
            </w:r>
            <w:r w:rsidRPr="007612ED">
              <w:rPr>
                <w:vertAlign w:val="superscript"/>
              </w:rPr>
              <w:t>th</w:t>
            </w:r>
            <w:r>
              <w:t xml:space="preserve"> November 2018</w:t>
            </w:r>
          </w:p>
        </w:tc>
        <w:tc>
          <w:tcPr>
            <w:tcW w:w="1417" w:type="dxa"/>
            <w:tcMar/>
          </w:tcPr>
          <w:p w:rsidR="00606485" w:rsidP="001A4B0D" w:rsidRDefault="007612ED" w14:paraId="53ABCAEA" w14:textId="56DD7746">
            <w:r>
              <w:t>1</w:t>
            </w:r>
            <w:r w:rsidRPr="007612ED">
              <w:rPr>
                <w:vertAlign w:val="superscript"/>
              </w:rPr>
              <w:t>st</w:t>
            </w:r>
            <w:r>
              <w:t xml:space="preserve"> February 2019</w:t>
            </w:r>
          </w:p>
        </w:tc>
        <w:tc>
          <w:tcPr>
            <w:tcW w:w="4678" w:type="dxa"/>
            <w:tcMar/>
          </w:tcPr>
          <w:p w:rsidR="007612ED" w:rsidP="007612ED" w:rsidRDefault="007612ED" w14:paraId="705276CA" w14:textId="77777777">
            <w:r>
              <w:t>The Nomination is not a community nomination, because it is defective and the</w:t>
            </w:r>
          </w:p>
          <w:p w:rsidR="007612ED" w:rsidP="007612ED" w:rsidRDefault="007612ED" w14:paraId="7FD6BBC1" w14:textId="155A5DE1">
            <w:r>
              <w:t>effect of the defect is to render the Nomination invalid. The nominated land (assuming, without prejudice to Ground A, that the Decision</w:t>
            </w:r>
          </w:p>
          <w:p w:rsidR="007612ED" w:rsidP="007612ED" w:rsidRDefault="007612ED" w14:paraId="6BEDCE0D" w14:textId="77777777">
            <w:r>
              <w:t>Notice correctly identifies the boundaries of the nominated land) is exempt from</w:t>
            </w:r>
          </w:p>
          <w:p w:rsidR="007612ED" w:rsidP="007612ED" w:rsidRDefault="007612ED" w14:paraId="1D06BB24" w14:textId="77777777">
            <w:r>
              <w:t>Asset of Community Value listing by virtue of Regulation 3 and Schedule 1 of the</w:t>
            </w:r>
          </w:p>
          <w:p w:rsidR="00606485" w:rsidP="007612ED" w:rsidRDefault="007612ED" w14:paraId="00945039" w14:textId="264615A4">
            <w:r>
              <w:t>Regulations.</w:t>
            </w:r>
          </w:p>
        </w:tc>
        <w:tc>
          <w:tcPr>
            <w:tcW w:w="2126" w:type="dxa"/>
            <w:tcMar/>
          </w:tcPr>
          <w:p w:rsidR="00606485" w:rsidP="001A4B0D" w:rsidRDefault="00986A68" w14:paraId="54D64CAF" w14:textId="71EFD255">
            <w:r>
              <w:t>The decision to list the asset was correct.</w:t>
            </w:r>
          </w:p>
        </w:tc>
      </w:tr>
      <w:tr w:rsidR="00986A68" w:rsidTr="28AEF9BF" w14:paraId="2997BD6B" w14:textId="77777777">
        <w:tc>
          <w:tcPr>
            <w:tcW w:w="2635" w:type="dxa"/>
            <w:tcMar/>
          </w:tcPr>
          <w:p w:rsidR="00986A68" w:rsidP="001A4B0D" w:rsidRDefault="00986A68" w14:paraId="195459DA" w14:textId="78CDB129">
            <w:r>
              <w:t>Soho Hospital for Women, 29-30 Soho Square</w:t>
            </w:r>
            <w:r w:rsidR="00A747AE">
              <w:t>, London</w:t>
            </w:r>
          </w:p>
        </w:tc>
        <w:tc>
          <w:tcPr>
            <w:tcW w:w="1671" w:type="dxa"/>
            <w:tcMar/>
          </w:tcPr>
          <w:p w:rsidR="00986A68" w:rsidP="001A4B0D" w:rsidRDefault="0002643E" w14:paraId="5407C85A" w14:textId="7DCFA470">
            <w:r>
              <w:t>8</w:t>
            </w:r>
            <w:r w:rsidRPr="0002643E">
              <w:rPr>
                <w:vertAlign w:val="superscript"/>
              </w:rPr>
              <w:t>th</w:t>
            </w:r>
            <w:r>
              <w:t xml:space="preserve"> November 2018</w:t>
            </w:r>
          </w:p>
        </w:tc>
        <w:tc>
          <w:tcPr>
            <w:tcW w:w="1785" w:type="dxa"/>
            <w:tcMar/>
          </w:tcPr>
          <w:p w:rsidR="00986A68" w:rsidP="001A4B0D" w:rsidRDefault="0002643E" w14:paraId="499DFB76" w14:textId="220A018E">
            <w:r>
              <w:t>19</w:t>
            </w:r>
            <w:r w:rsidRPr="0002643E">
              <w:rPr>
                <w:vertAlign w:val="superscript"/>
              </w:rPr>
              <w:t>th</w:t>
            </w:r>
            <w:r>
              <w:t xml:space="preserve"> December 2018</w:t>
            </w:r>
          </w:p>
        </w:tc>
        <w:tc>
          <w:tcPr>
            <w:tcW w:w="1417" w:type="dxa"/>
            <w:tcMar/>
          </w:tcPr>
          <w:p w:rsidR="00986A68" w:rsidP="001A4B0D" w:rsidRDefault="00CA243A" w14:paraId="4CC4C4BE" w14:textId="0F65D822">
            <w:r>
              <w:t>13</w:t>
            </w:r>
            <w:r w:rsidRPr="00CA243A">
              <w:rPr>
                <w:vertAlign w:val="superscript"/>
              </w:rPr>
              <w:t>th</w:t>
            </w:r>
            <w:r>
              <w:t xml:space="preserve"> February 2019</w:t>
            </w:r>
          </w:p>
        </w:tc>
        <w:tc>
          <w:tcPr>
            <w:tcW w:w="4678" w:type="dxa"/>
            <w:tcMar/>
          </w:tcPr>
          <w:p w:rsidR="00CA243A" w:rsidP="00CA243A" w:rsidRDefault="00CA243A" w14:paraId="35965AC1" w14:textId="0E83EF0E">
            <w:r>
              <w:t>The Nomination is defective as it does not meet the requirements of Regulation 6</w:t>
            </w:r>
            <w:r>
              <w:t xml:space="preserve"> </w:t>
            </w:r>
            <w:r>
              <w:t>of the Regulations in providing a description of the</w:t>
            </w:r>
            <w:r>
              <w:t xml:space="preserve"> </w:t>
            </w:r>
            <w:r>
              <w:t>nominated land including its</w:t>
            </w:r>
            <w:r>
              <w:t xml:space="preserve"> </w:t>
            </w:r>
            <w:r>
              <w:t>proposed boundaries and the Nominator has had two chances to put together the</w:t>
            </w:r>
            <w:r>
              <w:t xml:space="preserve"> </w:t>
            </w:r>
            <w:r>
              <w:t>application. This omission therefore renders the Nomination invalid.</w:t>
            </w:r>
          </w:p>
          <w:p w:rsidR="00CA243A" w:rsidP="00CA243A" w:rsidRDefault="00CA243A" w14:paraId="64247B8C" w14:textId="09AC228B">
            <w:r>
              <w:t>The Property fails to satisfy the statutory requirements of sub-sections 88(1) and</w:t>
            </w:r>
          </w:p>
          <w:p w:rsidR="00986A68" w:rsidP="00476D65" w:rsidRDefault="00CA243A" w14:paraId="33BC95ED" w14:textId="62B06BB5">
            <w:r>
              <w:t>88(6) of the Act, and the council are therefore requested to reconsider the</w:t>
            </w:r>
            <w:r w:rsidR="00476D65">
              <w:t xml:space="preserve"> </w:t>
            </w:r>
            <w:r>
              <w:t>previous representation from the Owner dated 25th October 2018 and the</w:t>
            </w:r>
            <w:r w:rsidR="00476D65">
              <w:t xml:space="preserve"> </w:t>
            </w:r>
            <w:r>
              <w:t>additional points raised the letter requesting this review (dated 19</w:t>
            </w:r>
            <w:r w:rsidRPr="00476D65">
              <w:rPr>
                <w:vertAlign w:val="superscript"/>
              </w:rPr>
              <w:t>th</w:t>
            </w:r>
            <w:r w:rsidR="00476D65">
              <w:t xml:space="preserve"> </w:t>
            </w:r>
            <w:r>
              <w:t>December</w:t>
            </w:r>
            <w:r w:rsidR="00476D65">
              <w:t xml:space="preserve"> </w:t>
            </w:r>
            <w:r>
              <w:t>2018).</w:t>
            </w:r>
          </w:p>
        </w:tc>
        <w:tc>
          <w:tcPr>
            <w:tcW w:w="2126" w:type="dxa"/>
            <w:tcMar/>
          </w:tcPr>
          <w:p w:rsidR="00986A68" w:rsidP="001A4B0D" w:rsidRDefault="00E32573" w14:paraId="64D063F6" w14:textId="208A94B5">
            <w:r>
              <w:t>The decision to list the asset was correct.</w:t>
            </w:r>
          </w:p>
        </w:tc>
      </w:tr>
      <w:tr w:rsidR="28AEF9BF" w:rsidTr="28AEF9BF" w14:paraId="1D29F6C6">
        <w:tc>
          <w:tcPr>
            <w:tcW w:w="2635" w:type="dxa"/>
            <w:tcMar/>
          </w:tcPr>
          <w:p w:rsidR="28AEF9BF" w:rsidP="28AEF9BF" w:rsidRDefault="28AEF9BF" w14:paraId="4BA40671" w14:textId="06237CD5">
            <w:pPr>
              <w:pStyle w:val="Normal"/>
            </w:pPr>
            <w:r w:rsidR="28AEF9BF">
              <w:rPr/>
              <w:t>Prince’s Square Gardens, Prince's Square, London W2 4NT</w:t>
            </w:r>
          </w:p>
        </w:tc>
        <w:tc>
          <w:tcPr>
            <w:tcW w:w="1671" w:type="dxa"/>
            <w:tcMar/>
          </w:tcPr>
          <w:p w:rsidR="28AEF9BF" w:rsidP="28AEF9BF" w:rsidRDefault="28AEF9BF" w14:paraId="6EA1EBD5" w14:textId="5643F5A6">
            <w:pPr>
              <w:pStyle w:val="Normal"/>
            </w:pPr>
            <w:r w:rsidR="28AEF9BF">
              <w:rPr/>
              <w:t>19</w:t>
            </w:r>
            <w:r w:rsidRPr="28AEF9BF" w:rsidR="28AEF9BF">
              <w:rPr>
                <w:vertAlign w:val="superscript"/>
              </w:rPr>
              <w:t>th</w:t>
            </w:r>
            <w:r w:rsidR="28AEF9BF">
              <w:rPr/>
              <w:t xml:space="preserve"> August 2021</w:t>
            </w:r>
          </w:p>
        </w:tc>
        <w:tc>
          <w:tcPr>
            <w:tcW w:w="1785" w:type="dxa"/>
            <w:tcMar/>
          </w:tcPr>
          <w:p w:rsidR="28AEF9BF" w:rsidP="28AEF9BF" w:rsidRDefault="28AEF9BF" w14:paraId="0BF3FD6B" w14:textId="6604468E">
            <w:pPr>
              <w:pStyle w:val="Normal"/>
            </w:pPr>
            <w:r w:rsidR="28AEF9BF">
              <w:rPr/>
              <w:t>7</w:t>
            </w:r>
            <w:r w:rsidRPr="28AEF9BF" w:rsidR="28AEF9BF">
              <w:rPr>
                <w:vertAlign w:val="superscript"/>
              </w:rPr>
              <w:t>th</w:t>
            </w:r>
            <w:r w:rsidR="28AEF9BF">
              <w:rPr/>
              <w:t xml:space="preserve"> October 2021</w:t>
            </w:r>
          </w:p>
        </w:tc>
        <w:tc>
          <w:tcPr>
            <w:tcW w:w="1417" w:type="dxa"/>
            <w:tcMar/>
          </w:tcPr>
          <w:p w:rsidR="28AEF9BF" w:rsidP="28AEF9BF" w:rsidRDefault="28AEF9BF" w14:paraId="1ED2B1D2" w14:textId="3DB67C58">
            <w:pPr>
              <w:pStyle w:val="Normal"/>
            </w:pPr>
            <w:r w:rsidR="28AEF9BF">
              <w:rPr/>
              <w:t>29</w:t>
            </w:r>
            <w:r w:rsidRPr="28AEF9BF" w:rsidR="28AEF9BF">
              <w:rPr>
                <w:vertAlign w:val="superscript"/>
              </w:rPr>
              <w:t>th</w:t>
            </w:r>
            <w:r w:rsidR="28AEF9BF">
              <w:rPr/>
              <w:t xml:space="preserve"> December 2021</w:t>
            </w:r>
          </w:p>
        </w:tc>
        <w:tc>
          <w:tcPr>
            <w:tcW w:w="4678" w:type="dxa"/>
            <w:tcMar/>
          </w:tcPr>
          <w:p w:rsidR="28AEF9BF" w:rsidP="28AEF9BF" w:rsidRDefault="28AEF9BF" w14:paraId="67F0AAD4" w14:textId="03075C29">
            <w:pPr>
              <w:pStyle w:val="Normal"/>
            </w:pPr>
            <w:r w:rsidR="28AEF9BF">
              <w:rPr/>
              <w:t>The nomination is not a community asset because it is not accessible by the full community</w:t>
            </w:r>
          </w:p>
          <w:p w:rsidR="28AEF9BF" w:rsidP="28AEF9BF" w:rsidRDefault="28AEF9BF" w14:paraId="29D87ACC" w14:textId="7C92FD14">
            <w:pPr>
              <w:pStyle w:val="Normal"/>
            </w:pPr>
            <w:r w:rsidR="28AEF9BF">
              <w:rPr/>
              <w:t>The nomination is redundant because the property is protected for use as a square by other designation</w:t>
            </w:r>
          </w:p>
        </w:tc>
        <w:tc>
          <w:tcPr>
            <w:tcW w:w="2126" w:type="dxa"/>
            <w:tcMar/>
          </w:tcPr>
          <w:p w:rsidR="28AEF9BF" w:rsidP="28AEF9BF" w:rsidRDefault="28AEF9BF" w14:paraId="2FC5C63F" w14:textId="12C91F43">
            <w:pPr>
              <w:pStyle w:val="Normal"/>
            </w:pPr>
            <w:r w:rsidR="28AEF9BF">
              <w:rPr/>
              <w:t>The decision to list the asset was correct.</w:t>
            </w:r>
          </w:p>
        </w:tc>
      </w:tr>
    </w:tbl>
    <w:p w:rsidR="00366F54" w:rsidRDefault="00366F54" w14:paraId="0C492A05" w14:textId="77777777"/>
    <w:sectPr w:rsidR="00366F54" w:rsidSect="009356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CC"/>
    <w:rsid w:val="0002643E"/>
    <w:rsid w:val="00117CA0"/>
    <w:rsid w:val="0012798C"/>
    <w:rsid w:val="001A4B0D"/>
    <w:rsid w:val="002132E5"/>
    <w:rsid w:val="002F491C"/>
    <w:rsid w:val="0030770D"/>
    <w:rsid w:val="00366F54"/>
    <w:rsid w:val="00456A48"/>
    <w:rsid w:val="00462065"/>
    <w:rsid w:val="004641F9"/>
    <w:rsid w:val="00476D65"/>
    <w:rsid w:val="00494171"/>
    <w:rsid w:val="005C21B2"/>
    <w:rsid w:val="00606485"/>
    <w:rsid w:val="007612ED"/>
    <w:rsid w:val="00841C86"/>
    <w:rsid w:val="008469EA"/>
    <w:rsid w:val="008A2A3A"/>
    <w:rsid w:val="008A36E5"/>
    <w:rsid w:val="008E7B3B"/>
    <w:rsid w:val="009356CC"/>
    <w:rsid w:val="00986A68"/>
    <w:rsid w:val="00A22CBD"/>
    <w:rsid w:val="00A747AE"/>
    <w:rsid w:val="00A931DB"/>
    <w:rsid w:val="00B5478D"/>
    <w:rsid w:val="00BE6019"/>
    <w:rsid w:val="00CA243A"/>
    <w:rsid w:val="00D07621"/>
    <w:rsid w:val="00DE305C"/>
    <w:rsid w:val="00E12ABA"/>
    <w:rsid w:val="00E32573"/>
    <w:rsid w:val="00FB4892"/>
    <w:rsid w:val="00FE6755"/>
    <w:rsid w:val="15CD3557"/>
    <w:rsid w:val="1904D619"/>
    <w:rsid w:val="1904D619"/>
    <w:rsid w:val="1C3C76DB"/>
    <w:rsid w:val="253B4BB3"/>
    <w:rsid w:val="28AEF9BF"/>
    <w:rsid w:val="6239C46B"/>
    <w:rsid w:val="7A859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B716"/>
  <w15:chartTrackingRefBased/>
  <w15:docId w15:val="{6242140C-4EF4-48C8-9C74-85A1E764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356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E5979A593F44DA37581000396A3C8" ma:contentTypeVersion="13" ma:contentTypeDescription="Create a new document." ma:contentTypeScope="" ma:versionID="75ec95b58228dd74f270e6b1b99d2659">
  <xsd:schema xmlns:xsd="http://www.w3.org/2001/XMLSchema" xmlns:xs="http://www.w3.org/2001/XMLSchema" xmlns:p="http://schemas.microsoft.com/office/2006/metadata/properties" xmlns:ns2="a18a8959-edca-41f4-9336-f219ee7f4e1f" xmlns:ns3="940c452e-8e4f-4c6e-a08a-e9fa73aab08f" targetNamespace="http://schemas.microsoft.com/office/2006/metadata/properties" ma:root="true" ma:fieldsID="753fbc4cb2f57719a380832a77f1ddbc" ns2:_="" ns3:_="">
    <xsd:import namespace="a18a8959-edca-41f4-9336-f219ee7f4e1f"/>
    <xsd:import namespace="940c452e-8e4f-4c6e-a08a-e9fa73aab0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a8959-edca-41f4-9336-f219ee7f4e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c452e-8e4f-4c6e-a08a-e9fa73aab0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18a8959-edca-41f4-9336-f219ee7f4e1f">
      <UserInfo>
        <DisplayName>Mollison, Kieren: WCC</DisplayName>
        <AccountId>706</AccountId>
        <AccountType/>
      </UserInfo>
    </SharedWithUsers>
  </documentManagement>
</p:properties>
</file>

<file path=customXml/itemProps1.xml><?xml version="1.0" encoding="utf-8"?>
<ds:datastoreItem xmlns:ds="http://schemas.openxmlformats.org/officeDocument/2006/customXml" ds:itemID="{DC47BFB0-EC27-4DE7-BF94-1A598673FBD6}"/>
</file>

<file path=customXml/itemProps2.xml><?xml version="1.0" encoding="utf-8"?>
<ds:datastoreItem xmlns:ds="http://schemas.openxmlformats.org/officeDocument/2006/customXml" ds:itemID="{E7B81057-001C-4453-9186-56A2E5DDD42C}">
  <ds:schemaRefs>
    <ds:schemaRef ds:uri="http://schemas.microsoft.com/sharepoint/v3/contenttype/forms"/>
  </ds:schemaRefs>
</ds:datastoreItem>
</file>

<file path=customXml/itemProps3.xml><?xml version="1.0" encoding="utf-8"?>
<ds:datastoreItem xmlns:ds="http://schemas.openxmlformats.org/officeDocument/2006/customXml" ds:itemID="{C33B310C-CC7B-4599-92E8-D25456147EB1}">
  <ds:schemaRefs>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355c9402-aa60-405b-bc6b-96c9a8f9a336"/>
    <ds:schemaRef ds:uri="b2cf9d79-e893-46ae-b07a-ec2dd07ab943"/>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Aaron: WCC</dc:creator>
  <cp:keywords/>
  <dc:description/>
  <cp:lastModifiedBy>Csicsek, Alex: WCC</cp:lastModifiedBy>
  <cp:revision>27</cp:revision>
  <dcterms:created xsi:type="dcterms:W3CDTF">2021-03-26T15:01:00Z</dcterms:created>
  <dcterms:modified xsi:type="dcterms:W3CDTF">2022-03-17T17:11:59Z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0x010100D09E5979A593F44DA37581000396A3C8</vt:lpwstr>
  </property>
</Properties>
</file>