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D1C4C" w14:textId="77777777" w:rsidR="00D223AD" w:rsidRDefault="00F82C24" w:rsidP="00F82C24">
      <w:pPr>
        <w:ind w:left="0" w:firstLine="0"/>
        <w:jc w:val="right"/>
        <w:rPr>
          <w:noProof/>
        </w:rPr>
      </w:pPr>
      <w:r>
        <w:rPr>
          <w:noProof/>
        </w:rPr>
        <w:drawing>
          <wp:inline distT="0" distB="0" distL="0" distR="0" wp14:anchorId="3AF5B767" wp14:editId="7F89CAC6">
            <wp:extent cx="3585550" cy="847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E_logo mai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31673" cy="882273"/>
                    </a:xfrm>
                    <a:prstGeom prst="rect">
                      <a:avLst/>
                    </a:prstGeom>
                  </pic:spPr>
                </pic:pic>
              </a:graphicData>
            </a:graphic>
          </wp:inline>
        </w:drawing>
      </w:r>
    </w:p>
    <w:p w14:paraId="0EF36960" w14:textId="77777777" w:rsidR="00F82C24" w:rsidRDefault="00F82C24" w:rsidP="00D223AD">
      <w:pPr>
        <w:ind w:left="0" w:firstLine="0"/>
        <w:rPr>
          <w:noProof/>
        </w:rPr>
      </w:pPr>
    </w:p>
    <w:p w14:paraId="2B1E5295" w14:textId="77777777" w:rsidR="00F82C24" w:rsidRDefault="00F82C24" w:rsidP="00D223AD">
      <w:pPr>
        <w:ind w:left="0" w:firstLine="0"/>
        <w:rPr>
          <w:noProof/>
        </w:rPr>
      </w:pPr>
    </w:p>
    <w:p w14:paraId="4552D547" w14:textId="77777777" w:rsidR="00F82C24" w:rsidRDefault="00F82C24" w:rsidP="00D223AD">
      <w:pPr>
        <w:ind w:left="0" w:firstLine="0"/>
        <w:rPr>
          <w:noProof/>
        </w:rPr>
      </w:pPr>
    </w:p>
    <w:p w14:paraId="15CCD2A5" w14:textId="77777777" w:rsidR="00F82C24" w:rsidRDefault="00F82C24" w:rsidP="00D223AD">
      <w:pPr>
        <w:ind w:left="0" w:firstLine="0"/>
        <w:rPr>
          <w:noProof/>
          <w:sz w:val="40"/>
          <w:szCs w:val="40"/>
        </w:rPr>
      </w:pPr>
    </w:p>
    <w:p w14:paraId="6DB9D337" w14:textId="77777777" w:rsidR="00F82C24" w:rsidRDefault="00F82C24" w:rsidP="00D223AD">
      <w:pPr>
        <w:ind w:left="0" w:firstLine="0"/>
        <w:rPr>
          <w:noProof/>
          <w:sz w:val="40"/>
          <w:szCs w:val="40"/>
        </w:rPr>
      </w:pPr>
    </w:p>
    <w:p w14:paraId="0CE8C591" w14:textId="77777777" w:rsidR="00F82C24" w:rsidRDefault="00F82C24" w:rsidP="00D223AD">
      <w:pPr>
        <w:ind w:left="0" w:firstLine="0"/>
        <w:rPr>
          <w:noProof/>
          <w:sz w:val="40"/>
          <w:szCs w:val="40"/>
        </w:rPr>
      </w:pPr>
    </w:p>
    <w:p w14:paraId="58F00465" w14:textId="77777777" w:rsidR="00F82C24" w:rsidRPr="00413C57" w:rsidRDefault="00F82C24" w:rsidP="00413C57">
      <w:pPr>
        <w:ind w:left="0" w:firstLine="0"/>
        <w:jc w:val="center"/>
        <w:rPr>
          <w:b/>
          <w:noProof/>
          <w:color w:val="808080" w:themeColor="background1" w:themeShade="80"/>
          <w:sz w:val="56"/>
          <w:szCs w:val="56"/>
        </w:rPr>
      </w:pPr>
    </w:p>
    <w:p w14:paraId="0AE583CA" w14:textId="77777777" w:rsidR="00E014E4" w:rsidRDefault="00E014E4" w:rsidP="00D223AD">
      <w:pPr>
        <w:ind w:left="0" w:firstLine="0"/>
        <w:rPr>
          <w:noProof/>
          <w:sz w:val="40"/>
          <w:szCs w:val="40"/>
        </w:rPr>
      </w:pPr>
    </w:p>
    <w:p w14:paraId="21FDA1D8" w14:textId="77777777" w:rsidR="00637318" w:rsidRDefault="00637318" w:rsidP="00D223AD">
      <w:pPr>
        <w:ind w:left="0" w:firstLine="0"/>
        <w:rPr>
          <w:b/>
          <w:noProof/>
          <w:sz w:val="40"/>
          <w:szCs w:val="40"/>
        </w:rPr>
      </w:pPr>
    </w:p>
    <w:p w14:paraId="1A369D8F" w14:textId="77777777" w:rsidR="00637318" w:rsidRDefault="00637318" w:rsidP="00D223AD">
      <w:pPr>
        <w:ind w:left="0" w:firstLine="0"/>
        <w:rPr>
          <w:b/>
          <w:noProof/>
          <w:sz w:val="40"/>
          <w:szCs w:val="40"/>
        </w:rPr>
      </w:pPr>
    </w:p>
    <w:p w14:paraId="57E64492" w14:textId="77777777" w:rsidR="00192C6E" w:rsidRDefault="00F82C24" w:rsidP="004E55A6">
      <w:pPr>
        <w:ind w:left="0" w:firstLine="0"/>
        <w:jc w:val="center"/>
        <w:rPr>
          <w:b/>
          <w:noProof/>
          <w:sz w:val="40"/>
          <w:szCs w:val="40"/>
        </w:rPr>
      </w:pPr>
      <w:r w:rsidRPr="00F82C24">
        <w:rPr>
          <w:b/>
          <w:noProof/>
          <w:sz w:val="40"/>
          <w:szCs w:val="40"/>
        </w:rPr>
        <w:t xml:space="preserve">Report on </w:t>
      </w:r>
      <w:r w:rsidR="00693D2A">
        <w:rPr>
          <w:b/>
          <w:noProof/>
          <w:sz w:val="40"/>
          <w:szCs w:val="40"/>
        </w:rPr>
        <w:t xml:space="preserve">Queen’s Park </w:t>
      </w:r>
    </w:p>
    <w:p w14:paraId="3C47325E" w14:textId="0F01ECCE" w:rsidR="00352723" w:rsidRDefault="004E55A6" w:rsidP="004E55A6">
      <w:pPr>
        <w:ind w:left="0" w:firstLine="0"/>
        <w:jc w:val="center"/>
        <w:rPr>
          <w:b/>
          <w:noProof/>
          <w:sz w:val="40"/>
          <w:szCs w:val="40"/>
        </w:rPr>
      </w:pPr>
      <w:r>
        <w:rPr>
          <w:b/>
          <w:noProof/>
          <w:sz w:val="40"/>
          <w:szCs w:val="40"/>
        </w:rPr>
        <w:t xml:space="preserve">Neighbourhood Plan </w:t>
      </w:r>
    </w:p>
    <w:p w14:paraId="12641B90" w14:textId="77777777" w:rsidR="00F82C24" w:rsidRPr="00F82C24" w:rsidRDefault="004E55A6" w:rsidP="004E55A6">
      <w:pPr>
        <w:ind w:left="0" w:firstLine="0"/>
        <w:jc w:val="center"/>
        <w:rPr>
          <w:b/>
          <w:sz w:val="40"/>
          <w:szCs w:val="40"/>
        </w:rPr>
      </w:pPr>
      <w:r>
        <w:rPr>
          <w:b/>
          <w:noProof/>
          <w:sz w:val="40"/>
          <w:szCs w:val="40"/>
        </w:rPr>
        <w:t>20</w:t>
      </w:r>
      <w:r w:rsidR="00693D2A">
        <w:rPr>
          <w:b/>
          <w:noProof/>
          <w:sz w:val="40"/>
          <w:szCs w:val="40"/>
        </w:rPr>
        <w:t>20</w:t>
      </w:r>
      <w:r>
        <w:rPr>
          <w:b/>
          <w:noProof/>
          <w:sz w:val="40"/>
          <w:szCs w:val="40"/>
        </w:rPr>
        <w:t>-20</w:t>
      </w:r>
      <w:r w:rsidR="00693D2A">
        <w:rPr>
          <w:b/>
          <w:noProof/>
          <w:sz w:val="40"/>
          <w:szCs w:val="40"/>
        </w:rPr>
        <w:t>40</w:t>
      </w:r>
    </w:p>
    <w:p w14:paraId="25822DDE" w14:textId="77777777" w:rsidR="00F82C24" w:rsidRDefault="00F82C24">
      <w:pPr>
        <w:spacing w:after="160" w:line="259" w:lineRule="auto"/>
        <w:ind w:left="0" w:firstLine="0"/>
        <w:jc w:val="left"/>
      </w:pPr>
    </w:p>
    <w:p w14:paraId="0E266D3A" w14:textId="77777777" w:rsidR="00F82C24" w:rsidRDefault="00F82C24">
      <w:pPr>
        <w:spacing w:after="160" w:line="259" w:lineRule="auto"/>
        <w:ind w:left="0" w:firstLine="0"/>
        <w:jc w:val="left"/>
      </w:pPr>
    </w:p>
    <w:p w14:paraId="7338F9CC" w14:textId="77777777" w:rsidR="00F82C24" w:rsidRDefault="00F82C24">
      <w:pPr>
        <w:spacing w:after="160" w:line="259" w:lineRule="auto"/>
        <w:ind w:left="0" w:firstLine="0"/>
        <w:jc w:val="left"/>
      </w:pPr>
    </w:p>
    <w:p w14:paraId="6BD3FBFF" w14:textId="77777777" w:rsidR="007601DC" w:rsidRDefault="007601DC">
      <w:pPr>
        <w:spacing w:after="160" w:line="259" w:lineRule="auto"/>
        <w:ind w:left="0" w:firstLine="0"/>
        <w:jc w:val="left"/>
      </w:pPr>
    </w:p>
    <w:p w14:paraId="3E774D43" w14:textId="77777777" w:rsidR="00F82C24" w:rsidRDefault="00F82C24">
      <w:pPr>
        <w:spacing w:after="160" w:line="259" w:lineRule="auto"/>
        <w:ind w:left="0" w:firstLine="0"/>
        <w:jc w:val="left"/>
      </w:pPr>
    </w:p>
    <w:p w14:paraId="01DBE546" w14:textId="77777777" w:rsidR="00F82C24" w:rsidRDefault="00F82C24">
      <w:pPr>
        <w:spacing w:after="160" w:line="259" w:lineRule="auto"/>
        <w:ind w:left="0" w:firstLine="0"/>
        <w:jc w:val="left"/>
      </w:pPr>
    </w:p>
    <w:p w14:paraId="6BF7716A" w14:textId="77777777" w:rsidR="00F82C24" w:rsidRDefault="00F82C24">
      <w:pPr>
        <w:spacing w:after="160" w:line="259" w:lineRule="auto"/>
        <w:ind w:left="0" w:firstLine="0"/>
        <w:jc w:val="left"/>
      </w:pPr>
    </w:p>
    <w:p w14:paraId="0EC6D830" w14:textId="77777777" w:rsidR="00F82C24" w:rsidRDefault="00F82C24">
      <w:pPr>
        <w:spacing w:after="160" w:line="259" w:lineRule="auto"/>
        <w:ind w:left="0" w:firstLine="0"/>
        <w:jc w:val="left"/>
      </w:pPr>
    </w:p>
    <w:p w14:paraId="7D606A66" w14:textId="77777777" w:rsidR="00F82C24" w:rsidRDefault="00F82C24">
      <w:pPr>
        <w:spacing w:after="160" w:line="259" w:lineRule="auto"/>
        <w:ind w:left="0" w:firstLine="0"/>
        <w:jc w:val="left"/>
      </w:pPr>
    </w:p>
    <w:p w14:paraId="76DEB766" w14:textId="1A0A88CE" w:rsidR="00262021" w:rsidRPr="00262021" w:rsidRDefault="00262021" w:rsidP="00AA4778">
      <w:pPr>
        <w:autoSpaceDE w:val="0"/>
        <w:autoSpaceDN w:val="0"/>
        <w:adjustRightInd w:val="0"/>
        <w:ind w:left="0" w:firstLine="0"/>
        <w:jc w:val="left"/>
        <w:rPr>
          <w:b/>
          <w:szCs w:val="22"/>
        </w:rPr>
      </w:pPr>
      <w:r w:rsidRPr="00262021">
        <w:rPr>
          <w:b/>
        </w:rPr>
        <w:t xml:space="preserve">An Examination undertaken for </w:t>
      </w:r>
      <w:r w:rsidR="00947E60">
        <w:rPr>
          <w:b/>
        </w:rPr>
        <w:t xml:space="preserve">Westminster City </w:t>
      </w:r>
      <w:r w:rsidRPr="00262021">
        <w:rPr>
          <w:rFonts w:eastAsiaTheme="minorHAnsi" w:cs="Arial"/>
          <w:b/>
          <w:bCs/>
          <w:szCs w:val="22"/>
          <w:lang w:eastAsia="en-US"/>
        </w:rPr>
        <w:t xml:space="preserve">Council with the support of </w:t>
      </w:r>
      <w:r w:rsidR="00352723">
        <w:rPr>
          <w:rFonts w:eastAsiaTheme="minorHAnsi" w:cs="Arial"/>
          <w:b/>
          <w:bCs/>
          <w:szCs w:val="22"/>
          <w:lang w:eastAsia="en-US"/>
        </w:rPr>
        <w:t xml:space="preserve">the </w:t>
      </w:r>
      <w:r w:rsidR="00947E60">
        <w:rPr>
          <w:rFonts w:eastAsiaTheme="minorHAnsi" w:cs="Arial"/>
          <w:b/>
          <w:bCs/>
          <w:szCs w:val="22"/>
          <w:lang w:eastAsia="en-US"/>
        </w:rPr>
        <w:t>Queen’s Park Community Council o</w:t>
      </w:r>
      <w:r w:rsidR="00192C6E">
        <w:rPr>
          <w:rFonts w:eastAsiaTheme="minorHAnsi" w:cs="Arial"/>
          <w:b/>
          <w:bCs/>
          <w:szCs w:val="22"/>
          <w:lang w:eastAsia="en-US"/>
        </w:rPr>
        <w:t>n</w:t>
      </w:r>
      <w:r w:rsidR="00947E60">
        <w:rPr>
          <w:rFonts w:eastAsiaTheme="minorHAnsi" w:cs="Arial"/>
          <w:b/>
          <w:bCs/>
          <w:szCs w:val="22"/>
          <w:lang w:eastAsia="en-US"/>
        </w:rPr>
        <w:t xml:space="preserve"> the April 2020</w:t>
      </w:r>
      <w:r w:rsidR="007601DC">
        <w:rPr>
          <w:rFonts w:eastAsiaTheme="minorHAnsi" w:cs="Arial"/>
          <w:b/>
          <w:bCs/>
          <w:szCs w:val="22"/>
          <w:lang w:eastAsia="en-US"/>
        </w:rPr>
        <w:t xml:space="preserve"> </w:t>
      </w:r>
      <w:r w:rsidRPr="00262021">
        <w:rPr>
          <w:rFonts w:eastAsiaTheme="minorHAnsi" w:cs="Arial"/>
          <w:b/>
          <w:bCs/>
          <w:szCs w:val="22"/>
          <w:lang w:eastAsia="en-US"/>
        </w:rPr>
        <w:t>submission version of the Plan.</w:t>
      </w:r>
    </w:p>
    <w:p w14:paraId="592EB712" w14:textId="77777777" w:rsidR="00F82C24" w:rsidRPr="00262021" w:rsidRDefault="00F82C24" w:rsidP="00AA4778">
      <w:pPr>
        <w:spacing w:line="259" w:lineRule="auto"/>
        <w:ind w:left="0" w:firstLine="0"/>
        <w:jc w:val="left"/>
      </w:pPr>
    </w:p>
    <w:p w14:paraId="7032007B" w14:textId="030FCECE" w:rsidR="00262021" w:rsidRPr="00262021" w:rsidRDefault="00F82C24" w:rsidP="00AA4778">
      <w:pPr>
        <w:autoSpaceDE w:val="0"/>
        <w:autoSpaceDN w:val="0"/>
        <w:adjustRightInd w:val="0"/>
        <w:ind w:left="0" w:firstLine="0"/>
        <w:jc w:val="left"/>
        <w:rPr>
          <w:rFonts w:eastAsiaTheme="minorHAnsi" w:cs="Arial"/>
          <w:b/>
          <w:bCs/>
          <w:sz w:val="32"/>
          <w:szCs w:val="32"/>
          <w:lang w:eastAsia="en-US"/>
        </w:rPr>
      </w:pPr>
      <w:r w:rsidRPr="00262021">
        <w:t xml:space="preserve">Independent Examiner: </w:t>
      </w:r>
      <w:r w:rsidR="00B83C94">
        <w:t xml:space="preserve">Jill </w:t>
      </w:r>
      <w:proofErr w:type="spellStart"/>
      <w:r w:rsidR="00B83C94">
        <w:t>Kingaby</w:t>
      </w:r>
      <w:proofErr w:type="spellEnd"/>
      <w:r w:rsidR="00B83C94">
        <w:t xml:space="preserve"> BSc</w:t>
      </w:r>
      <w:r w:rsidR="004C0AB0">
        <w:t xml:space="preserve"> </w:t>
      </w:r>
      <w:r w:rsidR="00B83C94">
        <w:t>(Econ) MSc MRTPI</w:t>
      </w:r>
    </w:p>
    <w:p w14:paraId="494971CF" w14:textId="77777777" w:rsidR="00AA4778" w:rsidRDefault="00AA4778" w:rsidP="00AA4778">
      <w:pPr>
        <w:spacing w:line="259" w:lineRule="auto"/>
        <w:ind w:left="0" w:firstLine="0"/>
        <w:jc w:val="left"/>
      </w:pPr>
    </w:p>
    <w:p w14:paraId="219FE73F" w14:textId="792C4EB0" w:rsidR="00F82C24" w:rsidRDefault="00262021" w:rsidP="00AA4778">
      <w:pPr>
        <w:spacing w:line="259" w:lineRule="auto"/>
        <w:ind w:left="0" w:firstLine="0"/>
        <w:jc w:val="left"/>
      </w:pPr>
      <w:r w:rsidRPr="00262021">
        <w:t>D</w:t>
      </w:r>
      <w:r w:rsidR="00F82C24" w:rsidRPr="00262021">
        <w:t>ate of Report</w:t>
      </w:r>
      <w:r w:rsidR="00F82C24" w:rsidRPr="00971A14">
        <w:t xml:space="preserve">: </w:t>
      </w:r>
      <w:r w:rsidR="00222567">
        <w:t>8 June</w:t>
      </w:r>
      <w:r w:rsidR="00534DFD">
        <w:t xml:space="preserve"> 2021</w:t>
      </w:r>
    </w:p>
    <w:p w14:paraId="0E771596" w14:textId="77777777" w:rsidR="00C37BA0" w:rsidRDefault="00C37BA0" w:rsidP="00AA4778">
      <w:pPr>
        <w:spacing w:line="259" w:lineRule="auto"/>
        <w:ind w:left="0" w:firstLine="0"/>
        <w:jc w:val="left"/>
      </w:pPr>
    </w:p>
    <w:p w14:paraId="0983C9BA" w14:textId="77777777" w:rsidR="00C37BA0" w:rsidRDefault="00C37BA0">
      <w:pPr>
        <w:spacing w:after="160" w:line="259" w:lineRule="auto"/>
        <w:ind w:left="0" w:firstLine="0"/>
        <w:jc w:val="left"/>
        <w:rPr>
          <w:b/>
        </w:rPr>
      </w:pPr>
      <w:r w:rsidRPr="00C37BA0">
        <w:rPr>
          <w:b/>
        </w:rPr>
        <w:lastRenderedPageBreak/>
        <w:t>Contents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500"/>
      </w:tblGrid>
      <w:tr w:rsidR="00045FD6" w14:paraId="4EFC1840" w14:textId="77777777" w:rsidTr="00920275">
        <w:tc>
          <w:tcPr>
            <w:tcW w:w="6521" w:type="dxa"/>
          </w:tcPr>
          <w:p w14:paraId="1FDE9AD2" w14:textId="77777777" w:rsidR="00045FD6" w:rsidRDefault="00045FD6" w:rsidP="003E7816">
            <w:pPr>
              <w:ind w:left="0" w:firstLine="0"/>
            </w:pPr>
          </w:p>
        </w:tc>
        <w:tc>
          <w:tcPr>
            <w:tcW w:w="2500" w:type="dxa"/>
          </w:tcPr>
          <w:p w14:paraId="39E6313F" w14:textId="77777777" w:rsidR="00045FD6" w:rsidRDefault="00045FD6" w:rsidP="00920275">
            <w:pPr>
              <w:spacing w:after="240"/>
              <w:ind w:left="0" w:firstLine="0"/>
              <w:jc w:val="center"/>
            </w:pPr>
            <w:r>
              <w:t>Page</w:t>
            </w:r>
          </w:p>
        </w:tc>
      </w:tr>
      <w:tr w:rsidR="00045FD6" w14:paraId="7362588B" w14:textId="77777777" w:rsidTr="00920275">
        <w:tc>
          <w:tcPr>
            <w:tcW w:w="6521" w:type="dxa"/>
          </w:tcPr>
          <w:p w14:paraId="310733A7" w14:textId="77777777" w:rsidR="00045FD6" w:rsidRPr="00733278" w:rsidRDefault="00045FD6" w:rsidP="00DA0078">
            <w:pPr>
              <w:pStyle w:val="ListParagraph"/>
              <w:numPr>
                <w:ilvl w:val="0"/>
                <w:numId w:val="11"/>
              </w:numPr>
              <w:ind w:left="321" w:hanging="321"/>
              <w:rPr>
                <w:b/>
              </w:rPr>
            </w:pPr>
            <w:r w:rsidRPr="00733278">
              <w:rPr>
                <w:b/>
              </w:rPr>
              <w:t>Introduction and Background</w:t>
            </w:r>
          </w:p>
        </w:tc>
        <w:tc>
          <w:tcPr>
            <w:tcW w:w="2500" w:type="dxa"/>
          </w:tcPr>
          <w:p w14:paraId="7C556721" w14:textId="5F6816DE" w:rsidR="00045FD6" w:rsidRDefault="00920275" w:rsidP="003E7816">
            <w:pPr>
              <w:ind w:left="0" w:firstLine="0"/>
              <w:jc w:val="center"/>
            </w:pPr>
            <w:r>
              <w:t>3</w:t>
            </w:r>
          </w:p>
        </w:tc>
      </w:tr>
      <w:tr w:rsidR="00045FD6" w14:paraId="2D1832C0" w14:textId="77777777" w:rsidTr="00920275">
        <w:tc>
          <w:tcPr>
            <w:tcW w:w="6521" w:type="dxa"/>
          </w:tcPr>
          <w:p w14:paraId="1EEBBA91" w14:textId="5D1F402F" w:rsidR="00045FD6" w:rsidRDefault="00947E60" w:rsidP="00947E60">
            <w:pPr>
              <w:pStyle w:val="ListParagraph"/>
              <w:numPr>
                <w:ilvl w:val="0"/>
                <w:numId w:val="12"/>
              </w:numPr>
              <w:rPr>
                <w:lang w:eastAsia="en-US"/>
              </w:rPr>
            </w:pPr>
            <w:r>
              <w:rPr>
                <w:lang w:eastAsia="en-US"/>
              </w:rPr>
              <w:t xml:space="preserve">Queen’s Park </w:t>
            </w:r>
            <w:r w:rsidR="00045FD6">
              <w:rPr>
                <w:lang w:eastAsia="en-US"/>
              </w:rPr>
              <w:t xml:space="preserve">Neighbourhood Plan </w:t>
            </w:r>
            <w:r w:rsidR="00A42C8A">
              <w:rPr>
                <w:lang w:eastAsia="en-US"/>
              </w:rPr>
              <w:t>20</w:t>
            </w:r>
            <w:r>
              <w:rPr>
                <w:lang w:eastAsia="en-US"/>
              </w:rPr>
              <w:t>20</w:t>
            </w:r>
            <w:r w:rsidR="00045FD6" w:rsidRPr="00A42C8A">
              <w:rPr>
                <w:lang w:eastAsia="en-US"/>
              </w:rPr>
              <w:t>–</w:t>
            </w:r>
            <w:r w:rsidR="00A42C8A" w:rsidRPr="00A42C8A">
              <w:rPr>
                <w:lang w:eastAsia="en-US"/>
              </w:rPr>
              <w:t>20</w:t>
            </w:r>
            <w:r>
              <w:rPr>
                <w:lang w:eastAsia="en-US"/>
              </w:rPr>
              <w:t>40</w:t>
            </w:r>
          </w:p>
        </w:tc>
        <w:tc>
          <w:tcPr>
            <w:tcW w:w="2500" w:type="dxa"/>
          </w:tcPr>
          <w:p w14:paraId="54612012" w14:textId="37422C13" w:rsidR="00045FD6" w:rsidRDefault="00920275" w:rsidP="003E7816">
            <w:pPr>
              <w:ind w:left="0" w:firstLine="0"/>
              <w:jc w:val="center"/>
            </w:pPr>
            <w:r>
              <w:t>3</w:t>
            </w:r>
          </w:p>
        </w:tc>
      </w:tr>
      <w:tr w:rsidR="00045FD6" w14:paraId="529B82BB" w14:textId="77777777" w:rsidTr="00920275">
        <w:tc>
          <w:tcPr>
            <w:tcW w:w="6521" w:type="dxa"/>
          </w:tcPr>
          <w:p w14:paraId="145FABEC" w14:textId="77777777" w:rsidR="00045FD6" w:rsidRDefault="00045FD6" w:rsidP="00DA0078">
            <w:pPr>
              <w:pStyle w:val="ListParagraph"/>
              <w:numPr>
                <w:ilvl w:val="0"/>
                <w:numId w:val="5"/>
              </w:numPr>
            </w:pPr>
            <w:r w:rsidRPr="00733278">
              <w:t>The Independent Examiner</w:t>
            </w:r>
          </w:p>
        </w:tc>
        <w:tc>
          <w:tcPr>
            <w:tcW w:w="2500" w:type="dxa"/>
          </w:tcPr>
          <w:p w14:paraId="35532ABE" w14:textId="00A19E30" w:rsidR="00045FD6" w:rsidRDefault="00920275" w:rsidP="003E7816">
            <w:pPr>
              <w:ind w:left="0" w:firstLine="0"/>
              <w:jc w:val="center"/>
            </w:pPr>
            <w:r>
              <w:t>4</w:t>
            </w:r>
          </w:p>
        </w:tc>
      </w:tr>
      <w:tr w:rsidR="00045FD6" w14:paraId="6F86FAD8" w14:textId="77777777" w:rsidTr="00920275">
        <w:tc>
          <w:tcPr>
            <w:tcW w:w="6521" w:type="dxa"/>
          </w:tcPr>
          <w:p w14:paraId="32F31341" w14:textId="77777777" w:rsidR="00045FD6" w:rsidRDefault="00045FD6" w:rsidP="00DA0078">
            <w:pPr>
              <w:pStyle w:val="ListParagraph"/>
              <w:numPr>
                <w:ilvl w:val="0"/>
                <w:numId w:val="5"/>
              </w:numPr>
              <w:rPr>
                <w:lang w:eastAsia="en-US"/>
              </w:rPr>
            </w:pPr>
            <w:r>
              <w:rPr>
                <w:lang w:eastAsia="en-US"/>
              </w:rPr>
              <w:t>The Scope of the Examination</w:t>
            </w:r>
          </w:p>
        </w:tc>
        <w:tc>
          <w:tcPr>
            <w:tcW w:w="2500" w:type="dxa"/>
          </w:tcPr>
          <w:p w14:paraId="32367DDB" w14:textId="533E3D47" w:rsidR="00045FD6" w:rsidRDefault="00920275" w:rsidP="003E7816">
            <w:pPr>
              <w:ind w:left="0" w:firstLine="0"/>
              <w:jc w:val="center"/>
            </w:pPr>
            <w:r>
              <w:t>4</w:t>
            </w:r>
          </w:p>
        </w:tc>
      </w:tr>
      <w:tr w:rsidR="00045FD6" w14:paraId="3F2E5C52" w14:textId="77777777" w:rsidTr="00920275">
        <w:tc>
          <w:tcPr>
            <w:tcW w:w="6521" w:type="dxa"/>
          </w:tcPr>
          <w:p w14:paraId="28522AD4" w14:textId="77777777" w:rsidR="00045FD6" w:rsidRDefault="00045FD6" w:rsidP="00DA0078">
            <w:pPr>
              <w:pStyle w:val="ListParagraph"/>
              <w:numPr>
                <w:ilvl w:val="0"/>
                <w:numId w:val="5"/>
              </w:numPr>
              <w:rPr>
                <w:lang w:eastAsia="en-US"/>
              </w:rPr>
            </w:pPr>
            <w:r>
              <w:rPr>
                <w:lang w:eastAsia="en-US"/>
              </w:rPr>
              <w:t>The Basic Conditions</w:t>
            </w:r>
          </w:p>
        </w:tc>
        <w:tc>
          <w:tcPr>
            <w:tcW w:w="2500" w:type="dxa"/>
          </w:tcPr>
          <w:p w14:paraId="7341D251" w14:textId="15C19C39" w:rsidR="00045FD6" w:rsidRDefault="00920275" w:rsidP="003E7816">
            <w:pPr>
              <w:ind w:left="0" w:firstLine="0"/>
              <w:jc w:val="center"/>
            </w:pPr>
            <w:r>
              <w:t>5</w:t>
            </w:r>
          </w:p>
        </w:tc>
      </w:tr>
      <w:tr w:rsidR="00045FD6" w14:paraId="4591C90E" w14:textId="77777777" w:rsidTr="00920275">
        <w:tc>
          <w:tcPr>
            <w:tcW w:w="6521" w:type="dxa"/>
          </w:tcPr>
          <w:p w14:paraId="70988908" w14:textId="77777777" w:rsidR="00045FD6" w:rsidRDefault="00045FD6" w:rsidP="003E7816">
            <w:pPr>
              <w:pStyle w:val="ListParagraph"/>
              <w:ind w:firstLine="0"/>
              <w:rPr>
                <w:lang w:eastAsia="en-US"/>
              </w:rPr>
            </w:pPr>
          </w:p>
        </w:tc>
        <w:tc>
          <w:tcPr>
            <w:tcW w:w="2500" w:type="dxa"/>
          </w:tcPr>
          <w:p w14:paraId="26CDF08B" w14:textId="77777777" w:rsidR="00045FD6" w:rsidRDefault="00045FD6" w:rsidP="003E7816">
            <w:pPr>
              <w:ind w:left="0" w:firstLine="0"/>
              <w:jc w:val="center"/>
            </w:pPr>
          </w:p>
        </w:tc>
      </w:tr>
      <w:tr w:rsidR="00045FD6" w14:paraId="47F2C9B2" w14:textId="77777777" w:rsidTr="00920275">
        <w:tc>
          <w:tcPr>
            <w:tcW w:w="6521" w:type="dxa"/>
          </w:tcPr>
          <w:p w14:paraId="04DAFFA6" w14:textId="77777777" w:rsidR="00045FD6" w:rsidRPr="00733278" w:rsidRDefault="00045FD6" w:rsidP="00DA0078">
            <w:pPr>
              <w:pStyle w:val="ListParagraph"/>
              <w:numPr>
                <w:ilvl w:val="0"/>
                <w:numId w:val="11"/>
              </w:numPr>
              <w:ind w:left="321" w:hanging="284"/>
              <w:rPr>
                <w:b/>
                <w:lang w:eastAsia="en-US"/>
              </w:rPr>
            </w:pPr>
            <w:r w:rsidRPr="00733278">
              <w:rPr>
                <w:b/>
                <w:lang w:eastAsia="en-US"/>
              </w:rPr>
              <w:t xml:space="preserve">Approach to the Examination </w:t>
            </w:r>
          </w:p>
        </w:tc>
        <w:tc>
          <w:tcPr>
            <w:tcW w:w="2500" w:type="dxa"/>
          </w:tcPr>
          <w:p w14:paraId="608E2373" w14:textId="3F92E3F7" w:rsidR="00045FD6" w:rsidRDefault="00920275" w:rsidP="003E7816">
            <w:pPr>
              <w:ind w:left="0" w:firstLine="0"/>
              <w:jc w:val="center"/>
            </w:pPr>
            <w:r>
              <w:t>6</w:t>
            </w:r>
          </w:p>
        </w:tc>
      </w:tr>
      <w:tr w:rsidR="00045FD6" w14:paraId="7B6072C6" w14:textId="77777777" w:rsidTr="00920275">
        <w:tc>
          <w:tcPr>
            <w:tcW w:w="6521" w:type="dxa"/>
          </w:tcPr>
          <w:p w14:paraId="4830801D" w14:textId="77777777" w:rsidR="00045FD6" w:rsidRDefault="00045FD6" w:rsidP="00DA0078">
            <w:pPr>
              <w:pStyle w:val="ListParagraph"/>
              <w:numPr>
                <w:ilvl w:val="0"/>
                <w:numId w:val="4"/>
              </w:numPr>
              <w:rPr>
                <w:lang w:eastAsia="en-US"/>
              </w:rPr>
            </w:pPr>
            <w:r>
              <w:rPr>
                <w:lang w:eastAsia="en-US"/>
              </w:rPr>
              <w:t>Planning Policy Context</w:t>
            </w:r>
          </w:p>
        </w:tc>
        <w:tc>
          <w:tcPr>
            <w:tcW w:w="2500" w:type="dxa"/>
          </w:tcPr>
          <w:p w14:paraId="07AFB932" w14:textId="0140497C" w:rsidR="00045FD6" w:rsidRDefault="00920275" w:rsidP="003E7816">
            <w:pPr>
              <w:ind w:left="0" w:firstLine="0"/>
              <w:jc w:val="center"/>
            </w:pPr>
            <w:r>
              <w:t>6</w:t>
            </w:r>
          </w:p>
        </w:tc>
      </w:tr>
      <w:tr w:rsidR="00045FD6" w14:paraId="6EB61DA6" w14:textId="77777777" w:rsidTr="00920275">
        <w:tc>
          <w:tcPr>
            <w:tcW w:w="6521" w:type="dxa"/>
          </w:tcPr>
          <w:p w14:paraId="3E201E4D" w14:textId="77777777" w:rsidR="00045FD6" w:rsidRDefault="00045FD6" w:rsidP="00DA0078">
            <w:pPr>
              <w:pStyle w:val="ListParagraph"/>
              <w:numPr>
                <w:ilvl w:val="0"/>
                <w:numId w:val="4"/>
              </w:numPr>
              <w:rPr>
                <w:lang w:eastAsia="en-US"/>
              </w:rPr>
            </w:pPr>
            <w:r>
              <w:rPr>
                <w:lang w:eastAsia="en-US"/>
              </w:rPr>
              <w:t>Submitted Documents</w:t>
            </w:r>
          </w:p>
        </w:tc>
        <w:tc>
          <w:tcPr>
            <w:tcW w:w="2500" w:type="dxa"/>
          </w:tcPr>
          <w:p w14:paraId="713739ED" w14:textId="1A4FC9DB" w:rsidR="00045FD6" w:rsidRDefault="00920275" w:rsidP="003E7816">
            <w:pPr>
              <w:ind w:left="0" w:firstLine="0"/>
              <w:jc w:val="center"/>
            </w:pPr>
            <w:r>
              <w:t>6</w:t>
            </w:r>
          </w:p>
        </w:tc>
      </w:tr>
      <w:tr w:rsidR="00045FD6" w14:paraId="4E879AEF" w14:textId="77777777" w:rsidTr="00920275">
        <w:tc>
          <w:tcPr>
            <w:tcW w:w="6521" w:type="dxa"/>
          </w:tcPr>
          <w:p w14:paraId="5B9C6084" w14:textId="77777777" w:rsidR="00045FD6" w:rsidRDefault="00045FD6" w:rsidP="00DA0078">
            <w:pPr>
              <w:pStyle w:val="ListParagraph"/>
              <w:numPr>
                <w:ilvl w:val="0"/>
                <w:numId w:val="4"/>
              </w:numPr>
              <w:rPr>
                <w:lang w:eastAsia="en-US"/>
              </w:rPr>
            </w:pPr>
            <w:r>
              <w:rPr>
                <w:lang w:eastAsia="en-US"/>
              </w:rPr>
              <w:t>Site Visit</w:t>
            </w:r>
          </w:p>
        </w:tc>
        <w:tc>
          <w:tcPr>
            <w:tcW w:w="2500" w:type="dxa"/>
          </w:tcPr>
          <w:p w14:paraId="192F817F" w14:textId="01FF85B2" w:rsidR="00045FD6" w:rsidRDefault="00920275" w:rsidP="003E7816">
            <w:pPr>
              <w:ind w:left="0" w:firstLine="0"/>
              <w:jc w:val="center"/>
            </w:pPr>
            <w:r>
              <w:t>7</w:t>
            </w:r>
          </w:p>
        </w:tc>
      </w:tr>
      <w:tr w:rsidR="00045FD6" w14:paraId="59B294F3" w14:textId="77777777" w:rsidTr="00920275">
        <w:tc>
          <w:tcPr>
            <w:tcW w:w="6521" w:type="dxa"/>
          </w:tcPr>
          <w:p w14:paraId="434FACB3" w14:textId="3BC07CA2" w:rsidR="00045FD6" w:rsidRDefault="00045FD6" w:rsidP="00E53E2F">
            <w:pPr>
              <w:pStyle w:val="ListParagraph"/>
              <w:numPr>
                <w:ilvl w:val="0"/>
                <w:numId w:val="4"/>
              </w:numPr>
              <w:jc w:val="left"/>
              <w:rPr>
                <w:lang w:eastAsia="en-US"/>
              </w:rPr>
            </w:pPr>
            <w:r>
              <w:rPr>
                <w:lang w:eastAsia="en-US"/>
              </w:rPr>
              <w:t xml:space="preserve">Written Representations </w:t>
            </w:r>
            <w:r w:rsidR="00E53E2F">
              <w:rPr>
                <w:lang w:eastAsia="en-US"/>
              </w:rPr>
              <w:t xml:space="preserve">with </w:t>
            </w:r>
            <w:r>
              <w:rPr>
                <w:lang w:eastAsia="en-US"/>
              </w:rPr>
              <w:t xml:space="preserve">or </w:t>
            </w:r>
            <w:r w:rsidR="00E53E2F">
              <w:rPr>
                <w:lang w:eastAsia="en-US"/>
              </w:rPr>
              <w:t xml:space="preserve">without </w:t>
            </w:r>
            <w:r>
              <w:rPr>
                <w:lang w:eastAsia="en-US"/>
              </w:rPr>
              <w:t>Public Hearing</w:t>
            </w:r>
          </w:p>
        </w:tc>
        <w:tc>
          <w:tcPr>
            <w:tcW w:w="2500" w:type="dxa"/>
          </w:tcPr>
          <w:p w14:paraId="62A11BC1" w14:textId="42B89FF2" w:rsidR="00045FD6" w:rsidRDefault="00920275" w:rsidP="003E7816">
            <w:pPr>
              <w:ind w:left="0" w:firstLine="0"/>
              <w:jc w:val="center"/>
            </w:pPr>
            <w:r>
              <w:t>7</w:t>
            </w:r>
          </w:p>
        </w:tc>
      </w:tr>
      <w:tr w:rsidR="00045FD6" w14:paraId="5024C45D" w14:textId="77777777" w:rsidTr="00920275">
        <w:tc>
          <w:tcPr>
            <w:tcW w:w="6521" w:type="dxa"/>
          </w:tcPr>
          <w:p w14:paraId="33092650" w14:textId="77777777" w:rsidR="00045FD6" w:rsidRDefault="00045FD6" w:rsidP="00DA0078">
            <w:pPr>
              <w:pStyle w:val="ListParagraph"/>
              <w:numPr>
                <w:ilvl w:val="0"/>
                <w:numId w:val="4"/>
              </w:numPr>
              <w:rPr>
                <w:lang w:eastAsia="en-US"/>
              </w:rPr>
            </w:pPr>
            <w:r>
              <w:rPr>
                <w:lang w:eastAsia="en-US"/>
              </w:rPr>
              <w:t>Modifications</w:t>
            </w:r>
          </w:p>
        </w:tc>
        <w:tc>
          <w:tcPr>
            <w:tcW w:w="2500" w:type="dxa"/>
          </w:tcPr>
          <w:p w14:paraId="010FA475" w14:textId="3FDCD16F" w:rsidR="00045FD6" w:rsidRDefault="00920275" w:rsidP="003E7816">
            <w:pPr>
              <w:ind w:left="0" w:firstLine="0"/>
              <w:jc w:val="center"/>
            </w:pPr>
            <w:r>
              <w:t>7</w:t>
            </w:r>
          </w:p>
        </w:tc>
      </w:tr>
      <w:tr w:rsidR="00045FD6" w14:paraId="5BC5A049" w14:textId="77777777" w:rsidTr="00920275">
        <w:tc>
          <w:tcPr>
            <w:tcW w:w="6521" w:type="dxa"/>
          </w:tcPr>
          <w:p w14:paraId="2D8E15E7" w14:textId="77777777" w:rsidR="00045FD6" w:rsidRDefault="00045FD6" w:rsidP="003E7816">
            <w:pPr>
              <w:pStyle w:val="ListParagraph"/>
              <w:ind w:firstLine="0"/>
              <w:rPr>
                <w:lang w:eastAsia="en-US"/>
              </w:rPr>
            </w:pPr>
          </w:p>
        </w:tc>
        <w:tc>
          <w:tcPr>
            <w:tcW w:w="2500" w:type="dxa"/>
          </w:tcPr>
          <w:p w14:paraId="3EEB165C" w14:textId="77777777" w:rsidR="00045FD6" w:rsidRDefault="00045FD6" w:rsidP="003E7816">
            <w:pPr>
              <w:ind w:left="0" w:firstLine="0"/>
              <w:jc w:val="center"/>
            </w:pPr>
          </w:p>
        </w:tc>
      </w:tr>
      <w:tr w:rsidR="00045FD6" w14:paraId="6A5EA745" w14:textId="77777777" w:rsidTr="00920275">
        <w:tc>
          <w:tcPr>
            <w:tcW w:w="6521" w:type="dxa"/>
          </w:tcPr>
          <w:p w14:paraId="47A2FAB1" w14:textId="77777777" w:rsidR="00045FD6" w:rsidRPr="00733278" w:rsidRDefault="00045FD6" w:rsidP="00DA0078">
            <w:pPr>
              <w:pStyle w:val="ListParagraph"/>
              <w:numPr>
                <w:ilvl w:val="0"/>
                <w:numId w:val="11"/>
              </w:numPr>
              <w:spacing w:line="256" w:lineRule="auto"/>
              <w:ind w:left="321" w:hanging="284"/>
              <w:jc w:val="left"/>
              <w:rPr>
                <w:b/>
                <w:lang w:eastAsia="en-US"/>
              </w:rPr>
            </w:pPr>
            <w:r>
              <w:rPr>
                <w:b/>
                <w:lang w:eastAsia="en-US"/>
              </w:rPr>
              <w:t>Procedural Compliance and Human Rights</w:t>
            </w:r>
          </w:p>
        </w:tc>
        <w:tc>
          <w:tcPr>
            <w:tcW w:w="2500" w:type="dxa"/>
          </w:tcPr>
          <w:p w14:paraId="527840E6" w14:textId="155B5F33" w:rsidR="00045FD6" w:rsidRDefault="00920275" w:rsidP="003E7816">
            <w:pPr>
              <w:ind w:left="0" w:firstLine="0"/>
              <w:jc w:val="center"/>
            </w:pPr>
            <w:r>
              <w:t>8</w:t>
            </w:r>
          </w:p>
        </w:tc>
      </w:tr>
      <w:tr w:rsidR="00045FD6" w14:paraId="20E775C8" w14:textId="77777777" w:rsidTr="00920275">
        <w:tc>
          <w:tcPr>
            <w:tcW w:w="6521" w:type="dxa"/>
          </w:tcPr>
          <w:p w14:paraId="4C43FB9A" w14:textId="77777777" w:rsidR="00045FD6" w:rsidRPr="00733278" w:rsidRDefault="00045FD6" w:rsidP="00DA0078">
            <w:pPr>
              <w:pStyle w:val="ListParagraph"/>
              <w:numPr>
                <w:ilvl w:val="0"/>
                <w:numId w:val="3"/>
              </w:numPr>
              <w:jc w:val="left"/>
              <w:rPr>
                <w:lang w:eastAsia="en-US"/>
              </w:rPr>
            </w:pPr>
            <w:r>
              <w:rPr>
                <w:lang w:eastAsia="en-US"/>
              </w:rPr>
              <w:t>Qualifying Body and Neighbourhood Plan Area</w:t>
            </w:r>
          </w:p>
        </w:tc>
        <w:tc>
          <w:tcPr>
            <w:tcW w:w="2500" w:type="dxa"/>
          </w:tcPr>
          <w:p w14:paraId="67180E3F" w14:textId="6D5FF321" w:rsidR="00045FD6" w:rsidRDefault="00920275" w:rsidP="003E7816">
            <w:pPr>
              <w:ind w:left="0" w:firstLine="0"/>
              <w:jc w:val="center"/>
            </w:pPr>
            <w:r>
              <w:t>8</w:t>
            </w:r>
          </w:p>
        </w:tc>
      </w:tr>
      <w:tr w:rsidR="00045FD6" w14:paraId="4E557836" w14:textId="77777777" w:rsidTr="00920275">
        <w:tc>
          <w:tcPr>
            <w:tcW w:w="6521" w:type="dxa"/>
          </w:tcPr>
          <w:p w14:paraId="6A9E4CE6" w14:textId="77777777" w:rsidR="00045FD6" w:rsidRPr="00733278" w:rsidRDefault="00045FD6" w:rsidP="00DA0078">
            <w:pPr>
              <w:pStyle w:val="ListParagraph"/>
              <w:numPr>
                <w:ilvl w:val="0"/>
                <w:numId w:val="3"/>
              </w:numPr>
              <w:jc w:val="left"/>
              <w:rPr>
                <w:lang w:eastAsia="en-US"/>
              </w:rPr>
            </w:pPr>
            <w:r>
              <w:rPr>
                <w:lang w:eastAsia="en-US"/>
              </w:rPr>
              <w:t>Plan Period</w:t>
            </w:r>
          </w:p>
        </w:tc>
        <w:tc>
          <w:tcPr>
            <w:tcW w:w="2500" w:type="dxa"/>
          </w:tcPr>
          <w:p w14:paraId="55F90C30" w14:textId="14FF1D65" w:rsidR="00045FD6" w:rsidRDefault="00920275" w:rsidP="003E7816">
            <w:pPr>
              <w:ind w:left="0" w:firstLine="0"/>
              <w:jc w:val="center"/>
            </w:pPr>
            <w:r>
              <w:t>8</w:t>
            </w:r>
          </w:p>
        </w:tc>
      </w:tr>
      <w:tr w:rsidR="00045FD6" w14:paraId="736B85CF" w14:textId="77777777" w:rsidTr="00920275">
        <w:tc>
          <w:tcPr>
            <w:tcW w:w="6521" w:type="dxa"/>
          </w:tcPr>
          <w:p w14:paraId="3FF1833D" w14:textId="77777777" w:rsidR="00045FD6" w:rsidRPr="00733278" w:rsidRDefault="00045FD6" w:rsidP="00DA0078">
            <w:pPr>
              <w:pStyle w:val="ListParagraph"/>
              <w:numPr>
                <w:ilvl w:val="0"/>
                <w:numId w:val="3"/>
              </w:numPr>
              <w:jc w:val="left"/>
              <w:rPr>
                <w:lang w:eastAsia="en-US"/>
              </w:rPr>
            </w:pPr>
            <w:r>
              <w:rPr>
                <w:lang w:eastAsia="en-US"/>
              </w:rPr>
              <w:t>Neighbourhood Plan Preparation and Consultation</w:t>
            </w:r>
          </w:p>
        </w:tc>
        <w:tc>
          <w:tcPr>
            <w:tcW w:w="2500" w:type="dxa"/>
          </w:tcPr>
          <w:p w14:paraId="2F4489E9" w14:textId="1A176E75" w:rsidR="00045FD6" w:rsidRDefault="00920275" w:rsidP="003E7816">
            <w:pPr>
              <w:ind w:left="0" w:firstLine="0"/>
              <w:jc w:val="center"/>
            </w:pPr>
            <w:r>
              <w:t>8</w:t>
            </w:r>
          </w:p>
        </w:tc>
      </w:tr>
      <w:tr w:rsidR="00045FD6" w14:paraId="1A4B5109" w14:textId="77777777" w:rsidTr="00920275">
        <w:tc>
          <w:tcPr>
            <w:tcW w:w="6521" w:type="dxa"/>
          </w:tcPr>
          <w:p w14:paraId="7EF9520D" w14:textId="77777777" w:rsidR="00045FD6" w:rsidRPr="00733278" w:rsidRDefault="00045FD6" w:rsidP="00DA0078">
            <w:pPr>
              <w:pStyle w:val="ListParagraph"/>
              <w:numPr>
                <w:ilvl w:val="0"/>
                <w:numId w:val="3"/>
              </w:numPr>
              <w:jc w:val="left"/>
              <w:rPr>
                <w:lang w:eastAsia="en-US"/>
              </w:rPr>
            </w:pPr>
            <w:r>
              <w:rPr>
                <w:lang w:eastAsia="en-US"/>
              </w:rPr>
              <w:t>Development and Use of Land</w:t>
            </w:r>
          </w:p>
        </w:tc>
        <w:tc>
          <w:tcPr>
            <w:tcW w:w="2500" w:type="dxa"/>
          </w:tcPr>
          <w:p w14:paraId="3DCDC6AB" w14:textId="4BA26655" w:rsidR="00045FD6" w:rsidRDefault="00920275" w:rsidP="003E7816">
            <w:pPr>
              <w:ind w:left="0" w:firstLine="0"/>
              <w:jc w:val="center"/>
            </w:pPr>
            <w:r>
              <w:t>10</w:t>
            </w:r>
          </w:p>
        </w:tc>
      </w:tr>
      <w:tr w:rsidR="00045FD6" w14:paraId="0968955D" w14:textId="77777777" w:rsidTr="00920275">
        <w:tc>
          <w:tcPr>
            <w:tcW w:w="6521" w:type="dxa"/>
          </w:tcPr>
          <w:p w14:paraId="5670819D" w14:textId="77777777" w:rsidR="00045FD6" w:rsidRDefault="00045FD6" w:rsidP="00DA0078">
            <w:pPr>
              <w:pStyle w:val="ListParagraph"/>
              <w:numPr>
                <w:ilvl w:val="0"/>
                <w:numId w:val="3"/>
              </w:numPr>
              <w:spacing w:line="256" w:lineRule="auto"/>
              <w:jc w:val="left"/>
              <w:rPr>
                <w:b/>
                <w:lang w:eastAsia="en-US"/>
              </w:rPr>
            </w:pPr>
            <w:r>
              <w:rPr>
                <w:lang w:eastAsia="en-US"/>
              </w:rPr>
              <w:t>Excluded Development</w:t>
            </w:r>
          </w:p>
        </w:tc>
        <w:tc>
          <w:tcPr>
            <w:tcW w:w="2500" w:type="dxa"/>
          </w:tcPr>
          <w:p w14:paraId="3529387B" w14:textId="1FBEED15" w:rsidR="00045FD6" w:rsidRDefault="00920275" w:rsidP="003E7816">
            <w:pPr>
              <w:ind w:left="0" w:firstLine="0"/>
              <w:jc w:val="center"/>
            </w:pPr>
            <w:r>
              <w:t>10</w:t>
            </w:r>
          </w:p>
        </w:tc>
      </w:tr>
      <w:tr w:rsidR="00045FD6" w14:paraId="6DA86001" w14:textId="77777777" w:rsidTr="00920275">
        <w:tc>
          <w:tcPr>
            <w:tcW w:w="6521" w:type="dxa"/>
          </w:tcPr>
          <w:p w14:paraId="0C36B9A0" w14:textId="77777777" w:rsidR="00045FD6" w:rsidRDefault="00045FD6" w:rsidP="00DA0078">
            <w:pPr>
              <w:pStyle w:val="ListParagraph"/>
              <w:numPr>
                <w:ilvl w:val="0"/>
                <w:numId w:val="3"/>
              </w:numPr>
              <w:jc w:val="left"/>
              <w:rPr>
                <w:lang w:eastAsia="en-US"/>
              </w:rPr>
            </w:pPr>
            <w:r>
              <w:rPr>
                <w:lang w:eastAsia="en-US"/>
              </w:rPr>
              <w:t>Human Rights</w:t>
            </w:r>
          </w:p>
        </w:tc>
        <w:tc>
          <w:tcPr>
            <w:tcW w:w="2500" w:type="dxa"/>
          </w:tcPr>
          <w:p w14:paraId="2A7BE261" w14:textId="7F4E62F3" w:rsidR="00045FD6" w:rsidRDefault="00920275" w:rsidP="003E7816">
            <w:pPr>
              <w:ind w:left="0" w:firstLine="0"/>
              <w:jc w:val="center"/>
            </w:pPr>
            <w:r>
              <w:t>10</w:t>
            </w:r>
          </w:p>
        </w:tc>
      </w:tr>
      <w:tr w:rsidR="00045FD6" w14:paraId="24077E23" w14:textId="77777777" w:rsidTr="00920275">
        <w:tc>
          <w:tcPr>
            <w:tcW w:w="6521" w:type="dxa"/>
          </w:tcPr>
          <w:p w14:paraId="6F77EC1D" w14:textId="77777777" w:rsidR="00045FD6" w:rsidRDefault="00045FD6" w:rsidP="003E7816">
            <w:pPr>
              <w:pStyle w:val="ListParagraph"/>
              <w:ind w:firstLine="0"/>
              <w:jc w:val="left"/>
              <w:rPr>
                <w:lang w:eastAsia="en-US"/>
              </w:rPr>
            </w:pPr>
          </w:p>
        </w:tc>
        <w:tc>
          <w:tcPr>
            <w:tcW w:w="2500" w:type="dxa"/>
          </w:tcPr>
          <w:p w14:paraId="66AA0826" w14:textId="77777777" w:rsidR="00045FD6" w:rsidRDefault="00045FD6" w:rsidP="003E7816">
            <w:pPr>
              <w:ind w:left="0" w:firstLine="0"/>
              <w:jc w:val="center"/>
            </w:pPr>
          </w:p>
        </w:tc>
      </w:tr>
      <w:tr w:rsidR="00045FD6" w14:paraId="37664236" w14:textId="77777777" w:rsidTr="00920275">
        <w:tc>
          <w:tcPr>
            <w:tcW w:w="6521" w:type="dxa"/>
          </w:tcPr>
          <w:p w14:paraId="4E7EC082" w14:textId="77777777" w:rsidR="00045FD6" w:rsidRPr="00733278" w:rsidRDefault="00045FD6" w:rsidP="00DA0078">
            <w:pPr>
              <w:pStyle w:val="ListParagraph"/>
              <w:numPr>
                <w:ilvl w:val="0"/>
                <w:numId w:val="11"/>
              </w:numPr>
              <w:spacing w:line="256" w:lineRule="auto"/>
              <w:ind w:left="321" w:hanging="284"/>
              <w:jc w:val="left"/>
              <w:rPr>
                <w:b/>
                <w:lang w:eastAsia="en-US"/>
              </w:rPr>
            </w:pPr>
            <w:r>
              <w:rPr>
                <w:b/>
                <w:lang w:eastAsia="en-US"/>
              </w:rPr>
              <w:t xml:space="preserve">Compliance with the Basic Conditions </w:t>
            </w:r>
          </w:p>
        </w:tc>
        <w:tc>
          <w:tcPr>
            <w:tcW w:w="2500" w:type="dxa"/>
          </w:tcPr>
          <w:p w14:paraId="6FAC131D" w14:textId="4406E52C" w:rsidR="00045FD6" w:rsidRDefault="00920275" w:rsidP="003E7816">
            <w:pPr>
              <w:ind w:left="0" w:firstLine="0"/>
              <w:jc w:val="center"/>
            </w:pPr>
            <w:r>
              <w:t>10</w:t>
            </w:r>
          </w:p>
        </w:tc>
      </w:tr>
      <w:tr w:rsidR="00045FD6" w14:paraId="1E9578FC" w14:textId="77777777" w:rsidTr="00920275">
        <w:tc>
          <w:tcPr>
            <w:tcW w:w="6521" w:type="dxa"/>
          </w:tcPr>
          <w:p w14:paraId="6906E310" w14:textId="77777777" w:rsidR="00045FD6" w:rsidRDefault="00045FD6" w:rsidP="00DA0078">
            <w:pPr>
              <w:pStyle w:val="ListParagraph"/>
              <w:numPr>
                <w:ilvl w:val="0"/>
                <w:numId w:val="3"/>
              </w:numPr>
              <w:jc w:val="left"/>
              <w:rPr>
                <w:lang w:eastAsia="en-US"/>
              </w:rPr>
            </w:pPr>
            <w:r>
              <w:rPr>
                <w:lang w:eastAsia="en-US"/>
              </w:rPr>
              <w:t>EU Obligations</w:t>
            </w:r>
          </w:p>
        </w:tc>
        <w:tc>
          <w:tcPr>
            <w:tcW w:w="2500" w:type="dxa"/>
          </w:tcPr>
          <w:p w14:paraId="4841C7A9" w14:textId="2C97ABB1" w:rsidR="00045FD6" w:rsidRDefault="00920275" w:rsidP="003E7816">
            <w:pPr>
              <w:ind w:left="0" w:firstLine="0"/>
              <w:jc w:val="center"/>
            </w:pPr>
            <w:r>
              <w:t>10</w:t>
            </w:r>
          </w:p>
        </w:tc>
      </w:tr>
      <w:tr w:rsidR="00045FD6" w14:paraId="3F7696CD" w14:textId="77777777" w:rsidTr="00920275">
        <w:tc>
          <w:tcPr>
            <w:tcW w:w="6521" w:type="dxa"/>
          </w:tcPr>
          <w:p w14:paraId="674F262C" w14:textId="77777777" w:rsidR="00045FD6" w:rsidRDefault="00045FD6" w:rsidP="00DA0078">
            <w:pPr>
              <w:pStyle w:val="ListParagraph"/>
              <w:numPr>
                <w:ilvl w:val="0"/>
                <w:numId w:val="3"/>
              </w:numPr>
              <w:jc w:val="left"/>
              <w:rPr>
                <w:lang w:eastAsia="en-US"/>
              </w:rPr>
            </w:pPr>
            <w:r>
              <w:rPr>
                <w:lang w:eastAsia="en-US"/>
              </w:rPr>
              <w:t>Main Issues</w:t>
            </w:r>
          </w:p>
        </w:tc>
        <w:tc>
          <w:tcPr>
            <w:tcW w:w="2500" w:type="dxa"/>
          </w:tcPr>
          <w:p w14:paraId="627862E3" w14:textId="603F6D68" w:rsidR="00045FD6" w:rsidRDefault="00920275" w:rsidP="003E7816">
            <w:pPr>
              <w:ind w:left="0" w:firstLine="0"/>
              <w:jc w:val="center"/>
            </w:pPr>
            <w:r>
              <w:t>10</w:t>
            </w:r>
          </w:p>
        </w:tc>
      </w:tr>
      <w:tr w:rsidR="00534DFD" w14:paraId="06260EBE" w14:textId="77777777" w:rsidTr="00920275">
        <w:tc>
          <w:tcPr>
            <w:tcW w:w="6521" w:type="dxa"/>
          </w:tcPr>
          <w:p w14:paraId="4BA1AA05" w14:textId="4D768EE7" w:rsidR="00534DFD" w:rsidRDefault="00534DFD" w:rsidP="00DA0078">
            <w:pPr>
              <w:pStyle w:val="ListParagraph"/>
              <w:numPr>
                <w:ilvl w:val="0"/>
                <w:numId w:val="3"/>
              </w:numPr>
              <w:jc w:val="left"/>
              <w:rPr>
                <w:lang w:eastAsia="en-US"/>
              </w:rPr>
            </w:pPr>
            <w:r w:rsidRPr="00534DFD">
              <w:rPr>
                <w:lang w:eastAsia="en-US"/>
              </w:rPr>
              <w:t>General Issues of Compliance</w:t>
            </w:r>
          </w:p>
        </w:tc>
        <w:tc>
          <w:tcPr>
            <w:tcW w:w="2500" w:type="dxa"/>
          </w:tcPr>
          <w:p w14:paraId="14045B0F" w14:textId="305645C1" w:rsidR="00534DFD" w:rsidRDefault="00920275" w:rsidP="003E7816">
            <w:pPr>
              <w:ind w:left="0" w:firstLine="0"/>
              <w:jc w:val="center"/>
            </w:pPr>
            <w:r>
              <w:t>1</w:t>
            </w:r>
            <w:r w:rsidR="003A3751">
              <w:t>1</w:t>
            </w:r>
          </w:p>
        </w:tc>
      </w:tr>
      <w:tr w:rsidR="00534DFD" w14:paraId="7930533B" w14:textId="77777777" w:rsidTr="00920275">
        <w:tc>
          <w:tcPr>
            <w:tcW w:w="6521" w:type="dxa"/>
          </w:tcPr>
          <w:p w14:paraId="1AB166A1" w14:textId="77F08C97" w:rsidR="00534DFD" w:rsidRDefault="00534DFD" w:rsidP="00DA0078">
            <w:pPr>
              <w:pStyle w:val="ListParagraph"/>
              <w:numPr>
                <w:ilvl w:val="0"/>
                <w:numId w:val="3"/>
              </w:numPr>
              <w:jc w:val="left"/>
              <w:rPr>
                <w:lang w:eastAsia="en-US"/>
              </w:rPr>
            </w:pPr>
            <w:r w:rsidRPr="00534DFD">
              <w:rPr>
                <w:lang w:eastAsia="en-US"/>
              </w:rPr>
              <w:t xml:space="preserve">Specific </w:t>
            </w:r>
            <w:r w:rsidR="00B05551">
              <w:rPr>
                <w:lang w:eastAsia="en-US"/>
              </w:rPr>
              <w:t>Is</w:t>
            </w:r>
            <w:r w:rsidRPr="00534DFD">
              <w:rPr>
                <w:lang w:eastAsia="en-US"/>
              </w:rPr>
              <w:t xml:space="preserve">sues of </w:t>
            </w:r>
            <w:r w:rsidR="00B05551">
              <w:rPr>
                <w:lang w:eastAsia="en-US"/>
              </w:rPr>
              <w:t>C</w:t>
            </w:r>
            <w:r w:rsidRPr="00534DFD">
              <w:rPr>
                <w:lang w:eastAsia="en-US"/>
              </w:rPr>
              <w:t xml:space="preserve">ompliance of the Plan’s </w:t>
            </w:r>
            <w:r w:rsidR="00C81AE9">
              <w:rPr>
                <w:lang w:eastAsia="en-US"/>
              </w:rPr>
              <w:t>P</w:t>
            </w:r>
            <w:r w:rsidRPr="00534DFD">
              <w:rPr>
                <w:lang w:eastAsia="en-US"/>
              </w:rPr>
              <w:t>olicies</w:t>
            </w:r>
          </w:p>
        </w:tc>
        <w:tc>
          <w:tcPr>
            <w:tcW w:w="2500" w:type="dxa"/>
          </w:tcPr>
          <w:p w14:paraId="22BAF406" w14:textId="57EA5F8D" w:rsidR="00534DFD" w:rsidRDefault="00920275" w:rsidP="003E7816">
            <w:pPr>
              <w:ind w:left="0" w:firstLine="0"/>
              <w:jc w:val="center"/>
            </w:pPr>
            <w:r>
              <w:t>13</w:t>
            </w:r>
          </w:p>
        </w:tc>
      </w:tr>
      <w:tr w:rsidR="00045FD6" w14:paraId="301807A7" w14:textId="77777777" w:rsidTr="00920275">
        <w:tc>
          <w:tcPr>
            <w:tcW w:w="6521" w:type="dxa"/>
          </w:tcPr>
          <w:p w14:paraId="4384055F" w14:textId="77777777" w:rsidR="00045FD6" w:rsidRDefault="00045FD6" w:rsidP="003E7816">
            <w:pPr>
              <w:pStyle w:val="ListParagraph"/>
              <w:ind w:firstLine="0"/>
              <w:jc w:val="left"/>
              <w:rPr>
                <w:lang w:eastAsia="en-US"/>
              </w:rPr>
            </w:pPr>
          </w:p>
        </w:tc>
        <w:tc>
          <w:tcPr>
            <w:tcW w:w="2500" w:type="dxa"/>
          </w:tcPr>
          <w:p w14:paraId="3ACEF19E" w14:textId="77777777" w:rsidR="00045FD6" w:rsidRDefault="00045FD6" w:rsidP="003E7816">
            <w:pPr>
              <w:ind w:left="0" w:firstLine="0"/>
              <w:jc w:val="center"/>
            </w:pPr>
          </w:p>
        </w:tc>
      </w:tr>
      <w:tr w:rsidR="00045FD6" w14:paraId="76A7A6B9" w14:textId="77777777" w:rsidTr="00920275">
        <w:tc>
          <w:tcPr>
            <w:tcW w:w="6521" w:type="dxa"/>
          </w:tcPr>
          <w:p w14:paraId="24EA4F90" w14:textId="77777777" w:rsidR="00045FD6" w:rsidRPr="00733278" w:rsidRDefault="00045FD6" w:rsidP="00DA0078">
            <w:pPr>
              <w:pStyle w:val="ListParagraph"/>
              <w:numPr>
                <w:ilvl w:val="0"/>
                <w:numId w:val="11"/>
              </w:numPr>
              <w:ind w:left="321" w:hanging="284"/>
              <w:rPr>
                <w:b/>
                <w:lang w:eastAsia="en-US"/>
              </w:rPr>
            </w:pPr>
            <w:r>
              <w:rPr>
                <w:b/>
                <w:lang w:eastAsia="en-US"/>
              </w:rPr>
              <w:t>Conclusions</w:t>
            </w:r>
          </w:p>
        </w:tc>
        <w:tc>
          <w:tcPr>
            <w:tcW w:w="2500" w:type="dxa"/>
          </w:tcPr>
          <w:p w14:paraId="4BFAFC23" w14:textId="76320B0B" w:rsidR="00045FD6" w:rsidRDefault="00920275" w:rsidP="003E7816">
            <w:pPr>
              <w:ind w:left="0" w:firstLine="0"/>
              <w:jc w:val="center"/>
            </w:pPr>
            <w:r>
              <w:t>17</w:t>
            </w:r>
          </w:p>
        </w:tc>
      </w:tr>
      <w:tr w:rsidR="00045FD6" w14:paraId="48B45820" w14:textId="77777777" w:rsidTr="00920275">
        <w:tc>
          <w:tcPr>
            <w:tcW w:w="6521" w:type="dxa"/>
          </w:tcPr>
          <w:p w14:paraId="18B40983" w14:textId="77777777" w:rsidR="00045FD6" w:rsidRDefault="00045FD6" w:rsidP="00DA0078">
            <w:pPr>
              <w:pStyle w:val="ListParagraph"/>
              <w:numPr>
                <w:ilvl w:val="0"/>
                <w:numId w:val="3"/>
              </w:numPr>
              <w:rPr>
                <w:lang w:eastAsia="en-US"/>
              </w:rPr>
            </w:pPr>
            <w:r>
              <w:rPr>
                <w:lang w:eastAsia="en-US"/>
              </w:rPr>
              <w:t>Summary</w:t>
            </w:r>
          </w:p>
        </w:tc>
        <w:tc>
          <w:tcPr>
            <w:tcW w:w="2500" w:type="dxa"/>
          </w:tcPr>
          <w:p w14:paraId="4DDD9545" w14:textId="10FE6112" w:rsidR="00045FD6" w:rsidRDefault="00920275" w:rsidP="003E7816">
            <w:pPr>
              <w:ind w:left="0" w:firstLine="0"/>
              <w:jc w:val="center"/>
            </w:pPr>
            <w:r>
              <w:t>17</w:t>
            </w:r>
          </w:p>
        </w:tc>
      </w:tr>
      <w:tr w:rsidR="00045FD6" w14:paraId="15A615F7" w14:textId="77777777" w:rsidTr="00920275">
        <w:tc>
          <w:tcPr>
            <w:tcW w:w="6521" w:type="dxa"/>
          </w:tcPr>
          <w:p w14:paraId="49A59838" w14:textId="77777777" w:rsidR="00045FD6" w:rsidRPr="00733278" w:rsidRDefault="00045FD6" w:rsidP="00DA0078">
            <w:pPr>
              <w:pStyle w:val="ListParagraph"/>
              <w:numPr>
                <w:ilvl w:val="0"/>
                <w:numId w:val="3"/>
              </w:numPr>
              <w:spacing w:line="256" w:lineRule="auto"/>
              <w:jc w:val="left"/>
              <w:rPr>
                <w:b/>
                <w:lang w:eastAsia="en-US"/>
              </w:rPr>
            </w:pPr>
            <w:r>
              <w:rPr>
                <w:lang w:eastAsia="en-US"/>
              </w:rPr>
              <w:t xml:space="preserve">The Referendum and </w:t>
            </w:r>
            <w:r w:rsidR="00A42C8A">
              <w:rPr>
                <w:lang w:eastAsia="en-US"/>
              </w:rPr>
              <w:t xml:space="preserve">its </w:t>
            </w:r>
            <w:r>
              <w:rPr>
                <w:lang w:eastAsia="en-US"/>
              </w:rPr>
              <w:t>Area</w:t>
            </w:r>
          </w:p>
        </w:tc>
        <w:tc>
          <w:tcPr>
            <w:tcW w:w="2500" w:type="dxa"/>
          </w:tcPr>
          <w:p w14:paraId="70CD78F4" w14:textId="519C78E1" w:rsidR="00045FD6" w:rsidRDefault="00920275" w:rsidP="003E7816">
            <w:pPr>
              <w:ind w:left="0" w:firstLine="0"/>
              <w:jc w:val="center"/>
            </w:pPr>
            <w:r>
              <w:t>1</w:t>
            </w:r>
            <w:r w:rsidR="003A3751">
              <w:t>8</w:t>
            </w:r>
          </w:p>
        </w:tc>
      </w:tr>
      <w:tr w:rsidR="00045FD6" w14:paraId="0B843E9E" w14:textId="77777777" w:rsidTr="00920275">
        <w:tc>
          <w:tcPr>
            <w:tcW w:w="6521" w:type="dxa"/>
          </w:tcPr>
          <w:p w14:paraId="1FA558CF" w14:textId="77777777" w:rsidR="00045FD6" w:rsidRDefault="00045FD6" w:rsidP="00DA0078">
            <w:pPr>
              <w:pStyle w:val="ListParagraph"/>
              <w:numPr>
                <w:ilvl w:val="0"/>
                <w:numId w:val="3"/>
              </w:numPr>
              <w:rPr>
                <w:lang w:eastAsia="en-US"/>
              </w:rPr>
            </w:pPr>
            <w:r>
              <w:rPr>
                <w:lang w:eastAsia="en-US"/>
              </w:rPr>
              <w:t>Overview</w:t>
            </w:r>
          </w:p>
        </w:tc>
        <w:tc>
          <w:tcPr>
            <w:tcW w:w="2500" w:type="dxa"/>
          </w:tcPr>
          <w:p w14:paraId="254CB9E5" w14:textId="1D900C4E" w:rsidR="00045FD6" w:rsidRDefault="00920275" w:rsidP="003E7816">
            <w:pPr>
              <w:ind w:left="0" w:firstLine="0"/>
              <w:jc w:val="center"/>
            </w:pPr>
            <w:r>
              <w:t>18</w:t>
            </w:r>
          </w:p>
        </w:tc>
      </w:tr>
      <w:tr w:rsidR="00045FD6" w14:paraId="426DA166" w14:textId="77777777" w:rsidTr="00920275">
        <w:tc>
          <w:tcPr>
            <w:tcW w:w="6521" w:type="dxa"/>
          </w:tcPr>
          <w:p w14:paraId="6B62DE41" w14:textId="77777777" w:rsidR="00045FD6" w:rsidRDefault="00045FD6" w:rsidP="003E7816">
            <w:pPr>
              <w:pStyle w:val="ListParagraph"/>
              <w:ind w:firstLine="0"/>
              <w:rPr>
                <w:lang w:eastAsia="en-US"/>
              </w:rPr>
            </w:pPr>
          </w:p>
        </w:tc>
        <w:tc>
          <w:tcPr>
            <w:tcW w:w="2500" w:type="dxa"/>
          </w:tcPr>
          <w:p w14:paraId="4AF55FEB" w14:textId="77777777" w:rsidR="00045FD6" w:rsidRDefault="00045FD6" w:rsidP="003E7816">
            <w:pPr>
              <w:ind w:left="0" w:firstLine="0"/>
              <w:jc w:val="center"/>
            </w:pPr>
          </w:p>
        </w:tc>
      </w:tr>
      <w:tr w:rsidR="00534DFD" w14:paraId="7BF70F42" w14:textId="77777777" w:rsidTr="00920275">
        <w:tc>
          <w:tcPr>
            <w:tcW w:w="6521" w:type="dxa"/>
          </w:tcPr>
          <w:p w14:paraId="4DACF0AE" w14:textId="3130702B" w:rsidR="00534DFD" w:rsidRPr="00534DFD" w:rsidRDefault="00534DFD" w:rsidP="00534DFD">
            <w:pPr>
              <w:rPr>
                <w:b/>
                <w:lang w:eastAsia="en-US"/>
              </w:rPr>
            </w:pPr>
            <w:r w:rsidRPr="0017768F">
              <w:rPr>
                <w:b/>
                <w:lang w:eastAsia="en-US"/>
              </w:rPr>
              <w:t>Appendix</w:t>
            </w:r>
            <w:r>
              <w:rPr>
                <w:b/>
                <w:lang w:eastAsia="en-US"/>
              </w:rPr>
              <w:t xml:space="preserve"> 1</w:t>
            </w:r>
            <w:r w:rsidRPr="00B05551">
              <w:rPr>
                <w:b/>
                <w:bCs/>
                <w:lang w:eastAsia="en-US"/>
              </w:rPr>
              <w:t>:</w:t>
            </w:r>
            <w:r>
              <w:rPr>
                <w:lang w:eastAsia="en-US"/>
              </w:rPr>
              <w:t xml:space="preserve"> </w:t>
            </w:r>
            <w:r w:rsidRPr="00971A14">
              <w:rPr>
                <w:b/>
                <w:lang w:eastAsia="en-US"/>
              </w:rPr>
              <w:t>Modifications</w:t>
            </w:r>
          </w:p>
        </w:tc>
        <w:tc>
          <w:tcPr>
            <w:tcW w:w="2500" w:type="dxa"/>
          </w:tcPr>
          <w:p w14:paraId="7E9A2E81" w14:textId="1419E6F6" w:rsidR="00534DFD" w:rsidRDefault="00920275" w:rsidP="003E7816">
            <w:pPr>
              <w:ind w:left="0" w:firstLine="0"/>
              <w:jc w:val="center"/>
            </w:pPr>
            <w:r>
              <w:t>19</w:t>
            </w:r>
          </w:p>
        </w:tc>
      </w:tr>
      <w:tr w:rsidR="00534DFD" w14:paraId="3A976557" w14:textId="77777777" w:rsidTr="00920275">
        <w:tc>
          <w:tcPr>
            <w:tcW w:w="6521" w:type="dxa"/>
          </w:tcPr>
          <w:p w14:paraId="5FE7357F" w14:textId="3B65E44E" w:rsidR="00534DFD" w:rsidRDefault="00534DFD" w:rsidP="00534DFD">
            <w:pPr>
              <w:tabs>
                <w:tab w:val="left" w:pos="0"/>
              </w:tabs>
              <w:ind w:left="0" w:firstLine="0"/>
              <w:jc w:val="left"/>
              <w:rPr>
                <w:lang w:eastAsia="en-US"/>
              </w:rPr>
            </w:pPr>
            <w:r w:rsidRPr="00534DFD">
              <w:rPr>
                <w:b/>
                <w:lang w:eastAsia="en-US"/>
              </w:rPr>
              <w:t>Appendix 2:</w:t>
            </w:r>
            <w:r w:rsidR="00E42756">
              <w:rPr>
                <w:b/>
                <w:lang w:eastAsia="en-US"/>
              </w:rPr>
              <w:t xml:space="preserve"> </w:t>
            </w:r>
            <w:r w:rsidRPr="00534DFD">
              <w:rPr>
                <w:b/>
                <w:lang w:eastAsia="en-US"/>
              </w:rPr>
              <w:t>Statement of Common Ground</w:t>
            </w:r>
            <w:r>
              <w:rPr>
                <w:b/>
                <w:lang w:eastAsia="en-US"/>
              </w:rPr>
              <w:t xml:space="preserve"> </w:t>
            </w:r>
            <w:r w:rsidRPr="00534DFD">
              <w:rPr>
                <w:b/>
                <w:lang w:eastAsia="en-US"/>
              </w:rPr>
              <w:t>(</w:t>
            </w:r>
            <w:r>
              <w:rPr>
                <w:b/>
                <w:lang w:eastAsia="en-US"/>
              </w:rPr>
              <w:t>April</w:t>
            </w:r>
            <w:r w:rsidRPr="00534DFD">
              <w:rPr>
                <w:b/>
                <w:lang w:eastAsia="en-US"/>
              </w:rPr>
              <w:t xml:space="preserve"> 202</w:t>
            </w:r>
            <w:r>
              <w:rPr>
                <w:b/>
                <w:lang w:eastAsia="en-US"/>
              </w:rPr>
              <w:t>1</w:t>
            </w:r>
            <w:r w:rsidRPr="00534DFD">
              <w:rPr>
                <w:b/>
                <w:lang w:eastAsia="en-US"/>
              </w:rPr>
              <w:t>)</w:t>
            </w:r>
          </w:p>
        </w:tc>
        <w:tc>
          <w:tcPr>
            <w:tcW w:w="2500" w:type="dxa"/>
          </w:tcPr>
          <w:p w14:paraId="43FC2154" w14:textId="3D5AB1AA" w:rsidR="00534DFD" w:rsidRDefault="00534DFD" w:rsidP="003E7816">
            <w:pPr>
              <w:ind w:left="0" w:firstLine="0"/>
              <w:jc w:val="center"/>
            </w:pPr>
            <w:r>
              <w:t>Attached Separately</w:t>
            </w:r>
          </w:p>
        </w:tc>
      </w:tr>
    </w:tbl>
    <w:p w14:paraId="32C030BB" w14:textId="77777777" w:rsidR="00170360" w:rsidRDefault="00170360">
      <w:r>
        <w:br w:type="page"/>
      </w:r>
    </w:p>
    <w:tbl>
      <w:tblPr>
        <w:tblStyle w:val="TableGrid"/>
        <w:tblW w:w="0" w:type="auto"/>
        <w:tblInd w:w="-5" w:type="dxa"/>
        <w:tblLook w:val="04A0" w:firstRow="1" w:lastRow="0" w:firstColumn="1" w:lastColumn="0" w:noHBand="0" w:noVBand="1"/>
      </w:tblPr>
      <w:tblGrid>
        <w:gridCol w:w="9021"/>
      </w:tblGrid>
      <w:tr w:rsidR="00855C44" w14:paraId="6D8958ED" w14:textId="77777777" w:rsidTr="00045FD6">
        <w:tc>
          <w:tcPr>
            <w:tcW w:w="9021" w:type="dxa"/>
            <w:shd w:val="clear" w:color="auto" w:fill="F2F2F2" w:themeFill="background1" w:themeFillShade="F2"/>
          </w:tcPr>
          <w:p w14:paraId="121A4AD5" w14:textId="77777777" w:rsidR="00855C44" w:rsidRDefault="00971A14" w:rsidP="00192C6E">
            <w:pPr>
              <w:spacing w:before="120"/>
              <w:ind w:left="0" w:firstLine="0"/>
              <w:jc w:val="center"/>
            </w:pPr>
            <w:r w:rsidRPr="002C180A">
              <w:br w:type="page"/>
            </w:r>
            <w:r w:rsidR="00955554" w:rsidRPr="00971A14">
              <w:rPr>
                <w:b/>
              </w:rPr>
              <w:t>Main Findings</w:t>
            </w:r>
            <w:r w:rsidR="00955554">
              <w:t xml:space="preserve"> - </w:t>
            </w:r>
            <w:r w:rsidR="00855C44">
              <w:t>Executive Summary</w:t>
            </w:r>
          </w:p>
          <w:p w14:paraId="15B57924" w14:textId="77777777" w:rsidR="00855C44" w:rsidRDefault="00855C44" w:rsidP="00855C44">
            <w:pPr>
              <w:ind w:left="0" w:firstLine="0"/>
              <w:jc w:val="center"/>
            </w:pPr>
          </w:p>
          <w:p w14:paraId="6DF5108C" w14:textId="2C29ADBA" w:rsidR="00955554" w:rsidRDefault="007C2D78" w:rsidP="00955554">
            <w:pPr>
              <w:ind w:left="0" w:firstLine="0"/>
              <w:jc w:val="left"/>
            </w:pPr>
            <w:r>
              <w:t>F</w:t>
            </w:r>
            <w:r w:rsidR="0056421B">
              <w:t xml:space="preserve">rom my examination of the </w:t>
            </w:r>
            <w:r w:rsidR="00947E60">
              <w:t xml:space="preserve">Queen’s Park </w:t>
            </w:r>
            <w:r w:rsidR="004E55A6">
              <w:t>Neighbourhood P</w:t>
            </w:r>
            <w:r w:rsidR="0056421B">
              <w:t>lan</w:t>
            </w:r>
            <w:r w:rsidR="00E53E2F">
              <w:t xml:space="preserve"> (the Plan/</w:t>
            </w:r>
            <w:r w:rsidR="009C0708">
              <w:t xml:space="preserve">  </w:t>
            </w:r>
            <w:r w:rsidR="00E53E2F">
              <w:t>QPNP)</w:t>
            </w:r>
            <w:r w:rsidR="0056421B">
              <w:t xml:space="preserve"> a</w:t>
            </w:r>
            <w:r w:rsidR="00A003A7">
              <w:t>nd its supporting documentation</w:t>
            </w:r>
            <w:r w:rsidR="0056421B">
              <w:t xml:space="preserve"> including the </w:t>
            </w:r>
            <w:r>
              <w:t>representations</w:t>
            </w:r>
            <w:r w:rsidR="0056421B">
              <w:t xml:space="preserve"> made, I have concluded that sub</w:t>
            </w:r>
            <w:r w:rsidR="006B570E">
              <w:t>j</w:t>
            </w:r>
            <w:r>
              <w:t>ect</w:t>
            </w:r>
            <w:r w:rsidR="0056421B">
              <w:t xml:space="preserve"> to the </w:t>
            </w:r>
            <w:r>
              <w:t xml:space="preserve">policy </w:t>
            </w:r>
            <w:r w:rsidR="0056421B">
              <w:t>mo</w:t>
            </w:r>
            <w:r>
              <w:t xml:space="preserve">difications </w:t>
            </w:r>
            <w:r w:rsidR="0056421B">
              <w:t xml:space="preserve">set out </w:t>
            </w:r>
            <w:r>
              <w:t xml:space="preserve">in this report, the </w:t>
            </w:r>
            <w:r w:rsidR="00E718D8">
              <w:t>P</w:t>
            </w:r>
            <w:r>
              <w:t>lan meets the Basic Conditions.</w:t>
            </w:r>
          </w:p>
          <w:p w14:paraId="6D88CD15" w14:textId="77777777" w:rsidR="007C2D78" w:rsidRDefault="007C2D78" w:rsidP="00955554">
            <w:pPr>
              <w:ind w:left="0" w:firstLine="0"/>
              <w:jc w:val="left"/>
            </w:pPr>
          </w:p>
          <w:p w14:paraId="34309325" w14:textId="77777777" w:rsidR="007C2D78" w:rsidRDefault="007C2D78" w:rsidP="00955554">
            <w:pPr>
              <w:ind w:left="0" w:firstLine="0"/>
              <w:jc w:val="left"/>
            </w:pPr>
            <w:r>
              <w:t>I have also concluded that:</w:t>
            </w:r>
          </w:p>
          <w:p w14:paraId="4689B74D" w14:textId="77777777" w:rsidR="007C2D78" w:rsidRDefault="007C2D78" w:rsidP="00955554">
            <w:pPr>
              <w:ind w:left="0" w:firstLine="0"/>
              <w:jc w:val="left"/>
            </w:pPr>
          </w:p>
          <w:p w14:paraId="2C49DC0A" w14:textId="77777777" w:rsidR="007C2D78" w:rsidRDefault="00E718D8" w:rsidP="00DA0078">
            <w:pPr>
              <w:pStyle w:val="ListParagraph"/>
              <w:numPr>
                <w:ilvl w:val="3"/>
                <w:numId w:val="1"/>
              </w:numPr>
              <w:ind w:left="927"/>
              <w:jc w:val="left"/>
            </w:pPr>
            <w:r>
              <w:t>The P</w:t>
            </w:r>
            <w:r w:rsidR="007C2D78">
              <w:t>lan has been prepared and submitted for examinatio</w:t>
            </w:r>
            <w:r w:rsidR="004E55A6">
              <w:t xml:space="preserve">n by a qualifying body – </w:t>
            </w:r>
            <w:r w:rsidR="00947E60">
              <w:t xml:space="preserve">Queen’s Park Community </w:t>
            </w:r>
            <w:proofErr w:type="gramStart"/>
            <w:r w:rsidR="00947E60">
              <w:t>Council</w:t>
            </w:r>
            <w:r w:rsidR="007C2D78">
              <w:t>;</w:t>
            </w:r>
            <w:proofErr w:type="gramEnd"/>
          </w:p>
          <w:p w14:paraId="288B4805" w14:textId="0D13A9EE" w:rsidR="007C2D78" w:rsidRDefault="007C2D78" w:rsidP="00DA0078">
            <w:pPr>
              <w:pStyle w:val="ListParagraph"/>
              <w:numPr>
                <w:ilvl w:val="3"/>
                <w:numId w:val="1"/>
              </w:numPr>
              <w:ind w:left="927"/>
              <w:jc w:val="left"/>
            </w:pPr>
            <w:r>
              <w:t xml:space="preserve">The </w:t>
            </w:r>
            <w:r w:rsidR="00E718D8">
              <w:t>P</w:t>
            </w:r>
            <w:r>
              <w:t xml:space="preserve">lan has been prepared for an area properly designated – </w:t>
            </w:r>
            <w:r w:rsidR="00035100">
              <w:t xml:space="preserve">Queen’s Park Community Council area as shown on </w:t>
            </w:r>
            <w:r w:rsidR="00192C6E">
              <w:t xml:space="preserve">Page 42 (Annex 1) of the </w:t>
            </w:r>
            <w:r w:rsidR="00035100">
              <w:t xml:space="preserve">of the Neighbourhood </w:t>
            </w:r>
            <w:proofErr w:type="gramStart"/>
            <w:r w:rsidR="00035100">
              <w:t>Plan</w:t>
            </w:r>
            <w:r w:rsidR="00363D31">
              <w:t>;</w:t>
            </w:r>
            <w:proofErr w:type="gramEnd"/>
          </w:p>
          <w:p w14:paraId="0256C03C" w14:textId="0997196C" w:rsidR="007C2D78" w:rsidRDefault="00E718D8" w:rsidP="00DA0078">
            <w:pPr>
              <w:pStyle w:val="ListParagraph"/>
              <w:numPr>
                <w:ilvl w:val="3"/>
                <w:numId w:val="1"/>
              </w:numPr>
              <w:ind w:left="927"/>
              <w:jc w:val="left"/>
            </w:pPr>
            <w:r>
              <w:t>The P</w:t>
            </w:r>
            <w:r w:rsidR="007C2D78">
              <w:t xml:space="preserve">lan specifies the period to which it is to take effect – </w:t>
            </w:r>
            <w:r w:rsidR="00947E60">
              <w:t>20</w:t>
            </w:r>
            <w:r w:rsidR="00B83C94">
              <w:t>20-</w:t>
            </w:r>
            <w:r w:rsidR="00947E60">
              <w:t>2040</w:t>
            </w:r>
            <w:r w:rsidR="007C2D78">
              <w:t xml:space="preserve">; and </w:t>
            </w:r>
          </w:p>
          <w:p w14:paraId="55197E29" w14:textId="77777777" w:rsidR="007C2D78" w:rsidRDefault="007C2D78" w:rsidP="00DA0078">
            <w:pPr>
              <w:pStyle w:val="ListParagraph"/>
              <w:numPr>
                <w:ilvl w:val="3"/>
                <w:numId w:val="1"/>
              </w:numPr>
              <w:ind w:left="927"/>
              <w:jc w:val="left"/>
            </w:pPr>
            <w:r>
              <w:t>The polic</w:t>
            </w:r>
            <w:r w:rsidR="00F5450A">
              <w:t>i</w:t>
            </w:r>
            <w:r>
              <w:t>es relate to the development and use of land for a designated neighbourhood area.</w:t>
            </w:r>
          </w:p>
          <w:p w14:paraId="4E09C5DC" w14:textId="77777777" w:rsidR="007C2D78" w:rsidRDefault="007C2D78" w:rsidP="007C2D78">
            <w:pPr>
              <w:ind w:left="0" w:firstLine="0"/>
              <w:jc w:val="left"/>
            </w:pPr>
          </w:p>
          <w:p w14:paraId="67F86708" w14:textId="7B216916" w:rsidR="007C2D78" w:rsidRDefault="007C2D78" w:rsidP="007C2D78">
            <w:pPr>
              <w:ind w:left="0" w:firstLine="0"/>
              <w:jc w:val="left"/>
            </w:pPr>
            <w:r>
              <w:t>I</w:t>
            </w:r>
            <w:r w:rsidR="003E7816">
              <w:t xml:space="preserve"> </w:t>
            </w:r>
            <w:r>
              <w:t>recom</w:t>
            </w:r>
            <w:r w:rsidR="006B570E">
              <w:t xml:space="preserve">mend that the </w:t>
            </w:r>
            <w:r w:rsidR="00E718D8">
              <w:t>P</w:t>
            </w:r>
            <w:r>
              <w:t>lan, once modified</w:t>
            </w:r>
            <w:r w:rsidR="006B570E">
              <w:t xml:space="preserve">, </w:t>
            </w:r>
            <w:r>
              <w:t xml:space="preserve">proceeds to </w:t>
            </w:r>
            <w:r w:rsidR="00192C6E">
              <w:t>r</w:t>
            </w:r>
            <w:r>
              <w:t>eferendum on the ba</w:t>
            </w:r>
            <w:r w:rsidR="006B570E">
              <w:t>s</w:t>
            </w:r>
            <w:r>
              <w:t xml:space="preserve">is </w:t>
            </w:r>
            <w:r w:rsidR="006B570E">
              <w:t xml:space="preserve">that it has </w:t>
            </w:r>
            <w:r>
              <w:t>met all the rel</w:t>
            </w:r>
            <w:r w:rsidR="006B570E">
              <w:t>e</w:t>
            </w:r>
            <w:r>
              <w:t>v</w:t>
            </w:r>
            <w:r w:rsidR="006B570E">
              <w:t>a</w:t>
            </w:r>
            <w:r>
              <w:t>nt legal requi</w:t>
            </w:r>
            <w:r w:rsidR="006B570E">
              <w:t>rements</w:t>
            </w:r>
            <w:r>
              <w:t xml:space="preserve">. </w:t>
            </w:r>
          </w:p>
          <w:p w14:paraId="3F957D24" w14:textId="77777777" w:rsidR="007C2D78" w:rsidRDefault="007C2D78" w:rsidP="007C2D78">
            <w:pPr>
              <w:ind w:left="0" w:firstLine="0"/>
              <w:jc w:val="left"/>
            </w:pPr>
          </w:p>
          <w:p w14:paraId="31E65CF8" w14:textId="4BC96E92" w:rsidR="00855C44" w:rsidRDefault="006B570E" w:rsidP="00192C6E">
            <w:pPr>
              <w:spacing w:after="120"/>
              <w:ind w:left="0" w:firstLine="0"/>
              <w:jc w:val="left"/>
            </w:pPr>
            <w:r>
              <w:t xml:space="preserve">I have considered whether the </w:t>
            </w:r>
            <w:r w:rsidR="007C2D78">
              <w:t>refer</w:t>
            </w:r>
            <w:r>
              <w:t>e</w:t>
            </w:r>
            <w:r w:rsidR="007C2D78">
              <w:t>ndu</w:t>
            </w:r>
            <w:r>
              <w:t>m</w:t>
            </w:r>
            <w:r w:rsidR="007C2D78">
              <w:t xml:space="preserve"> area </w:t>
            </w:r>
            <w:r>
              <w:t>should extend beyond the designated are</w:t>
            </w:r>
            <w:r w:rsidR="00F5450A">
              <w:t>a</w:t>
            </w:r>
            <w:r w:rsidR="00E718D8">
              <w:t xml:space="preserve"> to which the P</w:t>
            </w:r>
            <w:r>
              <w:t xml:space="preserve">lan relates and have concluded </w:t>
            </w:r>
            <w:r w:rsidR="004E55A6">
              <w:t xml:space="preserve">that </w:t>
            </w:r>
            <w:r>
              <w:t xml:space="preserve">it </w:t>
            </w:r>
            <w:r w:rsidRPr="003E7816">
              <w:t>should not.</w:t>
            </w:r>
          </w:p>
        </w:tc>
      </w:tr>
    </w:tbl>
    <w:p w14:paraId="49257D33" w14:textId="77777777" w:rsidR="00855C44" w:rsidRDefault="00855C44" w:rsidP="00192C6E"/>
    <w:p w14:paraId="3E40E62B" w14:textId="77777777" w:rsidR="00955554" w:rsidRDefault="00955554" w:rsidP="00192C6E">
      <w:pPr>
        <w:spacing w:line="259" w:lineRule="auto"/>
        <w:ind w:left="0" w:firstLine="0"/>
        <w:jc w:val="left"/>
      </w:pPr>
    </w:p>
    <w:p w14:paraId="5ACAD4E3" w14:textId="77777777" w:rsidR="0083641B" w:rsidRDefault="00955554" w:rsidP="00192C6E">
      <w:pPr>
        <w:jc w:val="left"/>
        <w:rPr>
          <w:b/>
        </w:rPr>
      </w:pPr>
      <w:r w:rsidRPr="002B0246">
        <w:rPr>
          <w:b/>
        </w:rPr>
        <w:t>1. Introduction and Background</w:t>
      </w:r>
    </w:p>
    <w:p w14:paraId="3255FD6E" w14:textId="77777777" w:rsidR="00955554" w:rsidRPr="002B0246" w:rsidRDefault="00955554" w:rsidP="00192C6E">
      <w:pPr>
        <w:jc w:val="left"/>
        <w:rPr>
          <w:b/>
          <w:color w:val="FF0000"/>
        </w:rPr>
      </w:pPr>
    </w:p>
    <w:p w14:paraId="27E82D32" w14:textId="77777777" w:rsidR="00955554" w:rsidRDefault="00A912A1" w:rsidP="00192C6E">
      <w:pPr>
        <w:jc w:val="left"/>
        <w:rPr>
          <w:i/>
        </w:rPr>
      </w:pPr>
      <w:r>
        <w:rPr>
          <w:i/>
        </w:rPr>
        <w:t xml:space="preserve">Queen’s Park </w:t>
      </w:r>
      <w:r w:rsidR="004E55A6">
        <w:rPr>
          <w:i/>
        </w:rPr>
        <w:t xml:space="preserve">Neighbourhood </w:t>
      </w:r>
      <w:r w:rsidR="00955554" w:rsidRPr="002B0246">
        <w:rPr>
          <w:i/>
        </w:rPr>
        <w:t>Plan</w:t>
      </w:r>
      <w:r w:rsidR="004E55A6">
        <w:rPr>
          <w:i/>
        </w:rPr>
        <w:t xml:space="preserve"> 20</w:t>
      </w:r>
      <w:r>
        <w:rPr>
          <w:i/>
        </w:rPr>
        <w:t>20-2040</w:t>
      </w:r>
    </w:p>
    <w:p w14:paraId="111A8E8A" w14:textId="77777777" w:rsidR="0083641B" w:rsidRPr="002B0246" w:rsidRDefault="0083641B" w:rsidP="00192C6E">
      <w:pPr>
        <w:jc w:val="left"/>
        <w:rPr>
          <w:i/>
        </w:rPr>
      </w:pPr>
    </w:p>
    <w:p w14:paraId="42DB0086" w14:textId="563B30A4" w:rsidR="00CD1C13" w:rsidRDefault="002F1C07" w:rsidP="00192C6E">
      <w:pPr>
        <w:pStyle w:val="Default"/>
        <w:ind w:left="720" w:hanging="720"/>
        <w:rPr>
          <w:rFonts w:ascii="Verdana" w:hAnsi="Verdana"/>
          <w:color w:val="auto"/>
          <w:sz w:val="22"/>
          <w:szCs w:val="22"/>
        </w:rPr>
      </w:pPr>
      <w:r w:rsidRPr="00541343">
        <w:rPr>
          <w:rFonts w:ascii="Verdana" w:hAnsi="Verdana"/>
          <w:color w:val="auto"/>
          <w:sz w:val="22"/>
          <w:szCs w:val="22"/>
        </w:rPr>
        <w:t xml:space="preserve">1.1 </w:t>
      </w:r>
      <w:r w:rsidR="00C5005A">
        <w:rPr>
          <w:rFonts w:ascii="Verdana" w:hAnsi="Verdana"/>
          <w:color w:val="auto"/>
          <w:sz w:val="22"/>
          <w:szCs w:val="22"/>
        </w:rPr>
        <w:tab/>
      </w:r>
      <w:r w:rsidR="009C0708">
        <w:rPr>
          <w:rFonts w:ascii="Verdana" w:hAnsi="Verdana"/>
          <w:color w:val="auto"/>
          <w:sz w:val="22"/>
          <w:szCs w:val="22"/>
        </w:rPr>
        <w:t xml:space="preserve">The </w:t>
      </w:r>
      <w:r w:rsidR="00A912A1">
        <w:rPr>
          <w:rFonts w:ascii="Verdana" w:hAnsi="Verdana"/>
          <w:color w:val="auto"/>
          <w:sz w:val="22"/>
          <w:szCs w:val="22"/>
        </w:rPr>
        <w:t>Queen’s Park Neighbourhood Plan cover</w:t>
      </w:r>
      <w:r w:rsidR="00E66A35">
        <w:rPr>
          <w:rFonts w:ascii="Verdana" w:hAnsi="Verdana"/>
          <w:color w:val="auto"/>
          <w:sz w:val="22"/>
          <w:szCs w:val="22"/>
        </w:rPr>
        <w:t>s</w:t>
      </w:r>
      <w:r w:rsidR="00A912A1">
        <w:rPr>
          <w:rFonts w:ascii="Verdana" w:hAnsi="Verdana"/>
          <w:color w:val="auto"/>
          <w:sz w:val="22"/>
          <w:szCs w:val="22"/>
        </w:rPr>
        <w:t xml:space="preserve"> </w:t>
      </w:r>
      <w:r w:rsidR="00E66A35">
        <w:rPr>
          <w:rFonts w:ascii="Verdana" w:hAnsi="Verdana"/>
          <w:color w:val="auto"/>
          <w:sz w:val="22"/>
          <w:szCs w:val="22"/>
        </w:rPr>
        <w:t>the</w:t>
      </w:r>
      <w:r w:rsidR="00A912A1">
        <w:rPr>
          <w:rFonts w:ascii="Verdana" w:hAnsi="Verdana"/>
          <w:color w:val="auto"/>
          <w:sz w:val="22"/>
          <w:szCs w:val="22"/>
        </w:rPr>
        <w:t xml:space="preserve"> Queen’s Park</w:t>
      </w:r>
      <w:r w:rsidR="008E40AC">
        <w:rPr>
          <w:rFonts w:ascii="Verdana" w:hAnsi="Verdana"/>
          <w:color w:val="auto"/>
          <w:sz w:val="22"/>
          <w:szCs w:val="22"/>
        </w:rPr>
        <w:t xml:space="preserve"> area</w:t>
      </w:r>
      <w:r w:rsidR="00035100">
        <w:rPr>
          <w:rFonts w:ascii="Verdana" w:hAnsi="Verdana"/>
          <w:color w:val="auto"/>
          <w:sz w:val="22"/>
          <w:szCs w:val="22"/>
        </w:rPr>
        <w:t xml:space="preserve">, illustrated on Page </w:t>
      </w:r>
      <w:r w:rsidR="00192C6E">
        <w:rPr>
          <w:rFonts w:ascii="Verdana" w:hAnsi="Verdana"/>
          <w:color w:val="auto"/>
          <w:sz w:val="22"/>
          <w:szCs w:val="22"/>
        </w:rPr>
        <w:t>42 (Annex 1)</w:t>
      </w:r>
      <w:r w:rsidR="00035100">
        <w:rPr>
          <w:rFonts w:ascii="Verdana" w:hAnsi="Verdana"/>
          <w:color w:val="auto"/>
          <w:sz w:val="22"/>
          <w:szCs w:val="22"/>
        </w:rPr>
        <w:t>,</w:t>
      </w:r>
      <w:r w:rsidR="008E40AC">
        <w:rPr>
          <w:rFonts w:ascii="Verdana" w:hAnsi="Verdana"/>
          <w:color w:val="auto"/>
          <w:sz w:val="22"/>
          <w:szCs w:val="22"/>
        </w:rPr>
        <w:t xml:space="preserve"> which aligns with the electoral</w:t>
      </w:r>
      <w:r w:rsidR="00A912A1">
        <w:rPr>
          <w:rFonts w:ascii="Verdana" w:hAnsi="Verdana"/>
          <w:color w:val="auto"/>
          <w:sz w:val="22"/>
          <w:szCs w:val="22"/>
        </w:rPr>
        <w:t xml:space="preserve"> ward.  Kilburn Lane </w:t>
      </w:r>
      <w:r w:rsidR="00035100">
        <w:rPr>
          <w:rFonts w:ascii="Verdana" w:hAnsi="Verdana"/>
          <w:color w:val="auto"/>
          <w:sz w:val="22"/>
          <w:szCs w:val="22"/>
        </w:rPr>
        <w:t>forms</w:t>
      </w:r>
      <w:r w:rsidR="00CD1C13">
        <w:rPr>
          <w:rFonts w:ascii="Verdana" w:hAnsi="Verdana"/>
          <w:color w:val="auto"/>
          <w:sz w:val="22"/>
          <w:szCs w:val="22"/>
        </w:rPr>
        <w:t xml:space="preserve"> </w:t>
      </w:r>
      <w:r w:rsidR="00A912A1">
        <w:rPr>
          <w:rFonts w:ascii="Verdana" w:hAnsi="Verdana"/>
          <w:color w:val="auto"/>
          <w:sz w:val="22"/>
          <w:szCs w:val="22"/>
        </w:rPr>
        <w:t xml:space="preserve">the western and northern boundaries of the area.  </w:t>
      </w:r>
      <w:proofErr w:type="spellStart"/>
      <w:r w:rsidR="00A912A1">
        <w:rPr>
          <w:rFonts w:ascii="Verdana" w:hAnsi="Verdana"/>
          <w:color w:val="auto"/>
          <w:sz w:val="22"/>
          <w:szCs w:val="22"/>
        </w:rPr>
        <w:t>Fernhead</w:t>
      </w:r>
      <w:proofErr w:type="spellEnd"/>
      <w:r w:rsidR="00A912A1">
        <w:rPr>
          <w:rFonts w:ascii="Verdana" w:hAnsi="Verdana"/>
          <w:color w:val="auto"/>
          <w:sz w:val="22"/>
          <w:szCs w:val="22"/>
        </w:rPr>
        <w:t xml:space="preserve"> Road and </w:t>
      </w:r>
      <w:proofErr w:type="spellStart"/>
      <w:r w:rsidR="00A912A1">
        <w:rPr>
          <w:rFonts w:ascii="Verdana" w:hAnsi="Verdana"/>
          <w:color w:val="auto"/>
          <w:sz w:val="22"/>
          <w:szCs w:val="22"/>
        </w:rPr>
        <w:t>Portnall</w:t>
      </w:r>
      <w:proofErr w:type="spellEnd"/>
      <w:r w:rsidR="00A912A1">
        <w:rPr>
          <w:rFonts w:ascii="Verdana" w:hAnsi="Verdana"/>
          <w:color w:val="auto"/>
          <w:sz w:val="22"/>
          <w:szCs w:val="22"/>
        </w:rPr>
        <w:t xml:space="preserve"> Road define the eastern boundary</w:t>
      </w:r>
      <w:r w:rsidR="00E66A35">
        <w:rPr>
          <w:rFonts w:ascii="Verdana" w:hAnsi="Verdana"/>
          <w:color w:val="auto"/>
          <w:sz w:val="22"/>
          <w:szCs w:val="22"/>
        </w:rPr>
        <w:t xml:space="preserve">. </w:t>
      </w:r>
      <w:r w:rsidR="00A912A1">
        <w:rPr>
          <w:rFonts w:ascii="Verdana" w:hAnsi="Verdana"/>
          <w:color w:val="auto"/>
          <w:sz w:val="22"/>
          <w:szCs w:val="22"/>
        </w:rPr>
        <w:t xml:space="preserve"> Harrow Road and the Grand Union Canal </w:t>
      </w:r>
      <w:r w:rsidR="00CD1C13">
        <w:rPr>
          <w:rFonts w:ascii="Verdana" w:hAnsi="Verdana"/>
          <w:color w:val="auto"/>
          <w:sz w:val="22"/>
          <w:szCs w:val="22"/>
        </w:rPr>
        <w:t>mark</w:t>
      </w:r>
      <w:r w:rsidR="00A912A1">
        <w:rPr>
          <w:rFonts w:ascii="Verdana" w:hAnsi="Verdana"/>
          <w:color w:val="auto"/>
          <w:sz w:val="22"/>
          <w:szCs w:val="22"/>
        </w:rPr>
        <w:t xml:space="preserve"> the southern boundary.  Queen’s Park occupies the north-western corner of the</w:t>
      </w:r>
      <w:r w:rsidR="003A3751">
        <w:rPr>
          <w:rFonts w:ascii="Verdana" w:hAnsi="Verdana"/>
          <w:color w:val="auto"/>
          <w:sz w:val="22"/>
          <w:szCs w:val="22"/>
        </w:rPr>
        <w:t xml:space="preserve"> City of Westminster </w:t>
      </w:r>
      <w:r w:rsidR="00A912A1">
        <w:rPr>
          <w:rFonts w:ascii="Verdana" w:hAnsi="Verdana"/>
          <w:color w:val="auto"/>
          <w:sz w:val="22"/>
          <w:szCs w:val="22"/>
        </w:rPr>
        <w:t>(WCC) area.  Queen’s Park is primarily residential, with a population of over 13,300 residents in 5,100 homes.</w:t>
      </w:r>
      <w:r w:rsidR="00A22E8C">
        <w:rPr>
          <w:rFonts w:ascii="Verdana" w:hAnsi="Verdana"/>
          <w:color w:val="auto"/>
          <w:sz w:val="22"/>
          <w:szCs w:val="22"/>
        </w:rPr>
        <w:t xml:space="preserve">  The Queen’s Park Estate</w:t>
      </w:r>
      <w:r w:rsidR="00E66A35">
        <w:rPr>
          <w:rFonts w:ascii="Verdana" w:hAnsi="Verdana"/>
          <w:color w:val="auto"/>
          <w:sz w:val="22"/>
          <w:szCs w:val="22"/>
        </w:rPr>
        <w:t>,</w:t>
      </w:r>
      <w:r w:rsidR="00A22E8C">
        <w:rPr>
          <w:rFonts w:ascii="Verdana" w:hAnsi="Verdana"/>
          <w:color w:val="auto"/>
          <w:sz w:val="22"/>
          <w:szCs w:val="22"/>
        </w:rPr>
        <w:t xml:space="preserve"> at the heart of the </w:t>
      </w:r>
      <w:r w:rsidR="00192C6E">
        <w:rPr>
          <w:rFonts w:ascii="Verdana" w:hAnsi="Verdana"/>
          <w:color w:val="auto"/>
          <w:sz w:val="22"/>
          <w:szCs w:val="22"/>
        </w:rPr>
        <w:t>N</w:t>
      </w:r>
      <w:r w:rsidR="00A22E8C">
        <w:rPr>
          <w:rFonts w:ascii="Verdana" w:hAnsi="Verdana"/>
          <w:color w:val="auto"/>
          <w:sz w:val="22"/>
          <w:szCs w:val="22"/>
        </w:rPr>
        <w:t xml:space="preserve">eighbourhood </w:t>
      </w:r>
      <w:r w:rsidR="00192C6E">
        <w:rPr>
          <w:rFonts w:ascii="Verdana" w:hAnsi="Verdana"/>
          <w:color w:val="auto"/>
          <w:sz w:val="22"/>
          <w:szCs w:val="22"/>
        </w:rPr>
        <w:t>P</w:t>
      </w:r>
      <w:r w:rsidR="00A22E8C">
        <w:rPr>
          <w:rFonts w:ascii="Verdana" w:hAnsi="Verdana"/>
          <w:color w:val="auto"/>
          <w:sz w:val="22"/>
          <w:szCs w:val="22"/>
        </w:rPr>
        <w:t xml:space="preserve">lan </w:t>
      </w:r>
      <w:r w:rsidR="00192C6E">
        <w:rPr>
          <w:rFonts w:ascii="Verdana" w:hAnsi="Verdana"/>
          <w:color w:val="auto"/>
          <w:sz w:val="22"/>
          <w:szCs w:val="22"/>
        </w:rPr>
        <w:t>A</w:t>
      </w:r>
      <w:r w:rsidR="00A22E8C">
        <w:rPr>
          <w:rFonts w:ascii="Verdana" w:hAnsi="Verdana"/>
          <w:color w:val="auto"/>
          <w:sz w:val="22"/>
          <w:szCs w:val="22"/>
        </w:rPr>
        <w:t xml:space="preserve">rea, was built </w:t>
      </w:r>
      <w:r w:rsidR="00D1657E">
        <w:rPr>
          <w:rFonts w:ascii="Verdana" w:hAnsi="Verdana"/>
          <w:color w:val="auto"/>
          <w:sz w:val="22"/>
          <w:szCs w:val="22"/>
        </w:rPr>
        <w:t xml:space="preserve">mostly </w:t>
      </w:r>
      <w:r w:rsidR="00A22E8C">
        <w:rPr>
          <w:rFonts w:ascii="Verdana" w:hAnsi="Verdana"/>
          <w:color w:val="auto"/>
          <w:sz w:val="22"/>
          <w:szCs w:val="22"/>
        </w:rPr>
        <w:t>in the late 1800s, and is a designated conservation area.  Two high streets, on Harrow Road and Kilburn Lane, provide a range of shops and community facilities.  Queen’s Park Gardens provide</w:t>
      </w:r>
      <w:r w:rsidR="00E66A35">
        <w:rPr>
          <w:rFonts w:ascii="Verdana" w:hAnsi="Verdana"/>
          <w:color w:val="auto"/>
          <w:sz w:val="22"/>
          <w:szCs w:val="22"/>
        </w:rPr>
        <w:t>s</w:t>
      </w:r>
      <w:r w:rsidR="00A22E8C">
        <w:rPr>
          <w:rFonts w:ascii="Verdana" w:hAnsi="Verdana"/>
          <w:color w:val="auto"/>
          <w:sz w:val="22"/>
          <w:szCs w:val="22"/>
        </w:rPr>
        <w:t xml:space="preserve"> </w:t>
      </w:r>
      <w:r w:rsidR="008E40AC">
        <w:rPr>
          <w:rFonts w:ascii="Verdana" w:hAnsi="Verdana"/>
          <w:color w:val="auto"/>
          <w:sz w:val="22"/>
          <w:szCs w:val="22"/>
        </w:rPr>
        <w:t>green</w:t>
      </w:r>
      <w:r w:rsidR="00A22E8C">
        <w:rPr>
          <w:rFonts w:ascii="Verdana" w:hAnsi="Verdana"/>
          <w:color w:val="auto"/>
          <w:sz w:val="22"/>
          <w:szCs w:val="22"/>
        </w:rPr>
        <w:t xml:space="preserve"> open space, </w:t>
      </w:r>
      <w:r w:rsidR="00E66A35">
        <w:rPr>
          <w:rFonts w:ascii="Verdana" w:hAnsi="Verdana"/>
          <w:color w:val="auto"/>
          <w:sz w:val="22"/>
          <w:szCs w:val="22"/>
        </w:rPr>
        <w:t>with</w:t>
      </w:r>
      <w:r w:rsidR="00A22E8C">
        <w:rPr>
          <w:rFonts w:ascii="Verdana" w:hAnsi="Verdana"/>
          <w:color w:val="auto"/>
          <w:sz w:val="22"/>
          <w:szCs w:val="22"/>
        </w:rPr>
        <w:t xml:space="preserve"> sport and leisure facilities, close to the centre of the area.  The </w:t>
      </w:r>
      <w:r w:rsidR="00D1657E">
        <w:rPr>
          <w:rFonts w:ascii="Verdana" w:hAnsi="Verdana"/>
          <w:color w:val="auto"/>
          <w:sz w:val="22"/>
          <w:szCs w:val="22"/>
        </w:rPr>
        <w:t>Grand Union C</w:t>
      </w:r>
      <w:r w:rsidR="00A22E8C">
        <w:rPr>
          <w:rFonts w:ascii="Verdana" w:hAnsi="Verdana"/>
          <w:color w:val="auto"/>
          <w:sz w:val="22"/>
          <w:szCs w:val="22"/>
        </w:rPr>
        <w:t xml:space="preserve">anal is an important </w:t>
      </w:r>
      <w:r w:rsidR="00E66A35">
        <w:rPr>
          <w:rFonts w:ascii="Verdana" w:hAnsi="Verdana"/>
          <w:color w:val="auto"/>
          <w:sz w:val="22"/>
          <w:szCs w:val="22"/>
        </w:rPr>
        <w:t xml:space="preserve">local </w:t>
      </w:r>
      <w:r w:rsidR="00A22E8C">
        <w:rPr>
          <w:rFonts w:ascii="Verdana" w:hAnsi="Verdana"/>
          <w:color w:val="auto"/>
          <w:sz w:val="22"/>
          <w:szCs w:val="22"/>
        </w:rPr>
        <w:t>feature, with pockets of commercial activity</w:t>
      </w:r>
      <w:r w:rsidR="00D1657E">
        <w:rPr>
          <w:rFonts w:ascii="Verdana" w:hAnsi="Verdana"/>
          <w:color w:val="auto"/>
          <w:sz w:val="22"/>
          <w:szCs w:val="22"/>
        </w:rPr>
        <w:t xml:space="preserve"> alongside</w:t>
      </w:r>
      <w:r w:rsidR="00CD1C13">
        <w:rPr>
          <w:rFonts w:ascii="Verdana" w:hAnsi="Verdana"/>
          <w:color w:val="auto"/>
          <w:sz w:val="22"/>
          <w:szCs w:val="22"/>
        </w:rPr>
        <w:t xml:space="preserve">, albeit most of these and the towpath are </w:t>
      </w:r>
      <w:r w:rsidR="00E66A35">
        <w:rPr>
          <w:rFonts w:ascii="Verdana" w:hAnsi="Verdana"/>
          <w:color w:val="auto"/>
          <w:sz w:val="22"/>
          <w:szCs w:val="22"/>
        </w:rPr>
        <w:t>situa</w:t>
      </w:r>
      <w:r w:rsidR="00CD1C13">
        <w:rPr>
          <w:rFonts w:ascii="Verdana" w:hAnsi="Verdana"/>
          <w:color w:val="auto"/>
          <w:sz w:val="22"/>
          <w:szCs w:val="22"/>
        </w:rPr>
        <w:t>ted outside the QPNP area</w:t>
      </w:r>
      <w:r w:rsidR="00035100">
        <w:rPr>
          <w:rFonts w:ascii="Verdana" w:hAnsi="Verdana"/>
          <w:color w:val="auto"/>
          <w:sz w:val="22"/>
          <w:szCs w:val="22"/>
        </w:rPr>
        <w:t xml:space="preserve"> to the south</w:t>
      </w:r>
      <w:r w:rsidR="00D1657E">
        <w:rPr>
          <w:rFonts w:ascii="Verdana" w:hAnsi="Verdana"/>
          <w:color w:val="auto"/>
          <w:sz w:val="22"/>
          <w:szCs w:val="22"/>
        </w:rPr>
        <w:t>,</w:t>
      </w:r>
      <w:r w:rsidR="00035100">
        <w:rPr>
          <w:rFonts w:ascii="Verdana" w:hAnsi="Verdana"/>
          <w:color w:val="auto"/>
          <w:sz w:val="22"/>
          <w:szCs w:val="22"/>
        </w:rPr>
        <w:t xml:space="preserve"> </w:t>
      </w:r>
      <w:r w:rsidR="00CD1C13">
        <w:rPr>
          <w:rFonts w:ascii="Verdana" w:hAnsi="Verdana"/>
          <w:color w:val="auto"/>
          <w:sz w:val="22"/>
          <w:szCs w:val="22"/>
        </w:rPr>
        <w:t>within the Royal Borough of Kensington and Chelsea.</w:t>
      </w:r>
      <w:r w:rsidR="00A22E8C">
        <w:rPr>
          <w:rFonts w:ascii="Verdana" w:hAnsi="Verdana"/>
          <w:color w:val="auto"/>
          <w:sz w:val="22"/>
          <w:szCs w:val="22"/>
        </w:rPr>
        <w:t xml:space="preserve">  </w:t>
      </w:r>
    </w:p>
    <w:p w14:paraId="66AFFDF4" w14:textId="77777777" w:rsidR="00CD1C13" w:rsidRDefault="00CD1C13" w:rsidP="00192C6E">
      <w:pPr>
        <w:pStyle w:val="Default"/>
        <w:ind w:left="426" w:hanging="426"/>
        <w:rPr>
          <w:rFonts w:ascii="Verdana" w:hAnsi="Verdana"/>
          <w:color w:val="auto"/>
          <w:sz w:val="22"/>
          <w:szCs w:val="22"/>
        </w:rPr>
      </w:pPr>
    </w:p>
    <w:p w14:paraId="08AE5B5A" w14:textId="3D0C7E6D" w:rsidR="003E7816" w:rsidRDefault="00E53E2F" w:rsidP="00192C6E">
      <w:pPr>
        <w:pStyle w:val="Default"/>
        <w:ind w:left="720" w:hanging="720"/>
        <w:rPr>
          <w:rFonts w:ascii="Verdana" w:hAnsi="Verdana"/>
          <w:color w:val="auto"/>
          <w:sz w:val="22"/>
          <w:szCs w:val="22"/>
        </w:rPr>
      </w:pPr>
      <w:r>
        <w:rPr>
          <w:rFonts w:ascii="Verdana" w:hAnsi="Verdana"/>
          <w:color w:val="auto"/>
          <w:sz w:val="22"/>
          <w:szCs w:val="22"/>
        </w:rPr>
        <w:t xml:space="preserve">1.2 </w:t>
      </w:r>
      <w:r>
        <w:rPr>
          <w:rFonts w:ascii="Verdana" w:hAnsi="Verdana"/>
          <w:color w:val="auto"/>
          <w:sz w:val="22"/>
          <w:szCs w:val="22"/>
        </w:rPr>
        <w:tab/>
      </w:r>
      <w:r w:rsidR="009E6665">
        <w:rPr>
          <w:rFonts w:ascii="Verdana" w:hAnsi="Verdana"/>
          <w:color w:val="auto"/>
          <w:sz w:val="22"/>
          <w:szCs w:val="22"/>
        </w:rPr>
        <w:t>Queen’s Park Community Council (QPCC) submitted proposals to prepare a neighbourhood plan to WCC in 2013</w:t>
      </w:r>
      <w:r w:rsidR="00F077D7">
        <w:rPr>
          <w:rFonts w:ascii="Verdana" w:hAnsi="Verdana"/>
          <w:color w:val="auto"/>
          <w:sz w:val="22"/>
          <w:szCs w:val="22"/>
        </w:rPr>
        <w:t>.</w:t>
      </w:r>
      <w:r w:rsidR="009E6665">
        <w:rPr>
          <w:rFonts w:ascii="Verdana" w:hAnsi="Verdana"/>
          <w:color w:val="auto"/>
          <w:sz w:val="22"/>
          <w:szCs w:val="22"/>
        </w:rPr>
        <w:t xml:space="preserve"> </w:t>
      </w:r>
      <w:r w:rsidR="00F077D7">
        <w:rPr>
          <w:rFonts w:ascii="Verdana" w:hAnsi="Verdana"/>
          <w:color w:val="auto"/>
          <w:sz w:val="22"/>
          <w:szCs w:val="22"/>
        </w:rPr>
        <w:t xml:space="preserve"> T</w:t>
      </w:r>
      <w:r w:rsidR="009E6665">
        <w:rPr>
          <w:rFonts w:ascii="Verdana" w:hAnsi="Verdana"/>
          <w:color w:val="auto"/>
          <w:sz w:val="22"/>
          <w:szCs w:val="22"/>
        </w:rPr>
        <w:t>he area</w:t>
      </w:r>
      <w:r w:rsidR="00125647">
        <w:rPr>
          <w:rFonts w:ascii="Verdana" w:hAnsi="Verdana"/>
          <w:color w:val="auto"/>
          <w:sz w:val="22"/>
          <w:szCs w:val="22"/>
        </w:rPr>
        <w:t>,</w:t>
      </w:r>
      <w:r w:rsidR="009E6665">
        <w:rPr>
          <w:rFonts w:ascii="Verdana" w:hAnsi="Verdana"/>
          <w:color w:val="auto"/>
          <w:sz w:val="22"/>
          <w:szCs w:val="22"/>
        </w:rPr>
        <w:t xml:space="preserve"> based on the </w:t>
      </w:r>
      <w:r w:rsidR="008E40AC">
        <w:rPr>
          <w:rFonts w:ascii="Verdana" w:hAnsi="Verdana"/>
          <w:color w:val="auto"/>
          <w:sz w:val="22"/>
          <w:szCs w:val="22"/>
        </w:rPr>
        <w:t>e</w:t>
      </w:r>
      <w:r w:rsidR="009E6665">
        <w:rPr>
          <w:rFonts w:ascii="Verdana" w:hAnsi="Verdana"/>
          <w:color w:val="auto"/>
          <w:sz w:val="22"/>
          <w:szCs w:val="22"/>
        </w:rPr>
        <w:t xml:space="preserve">lectoral </w:t>
      </w:r>
      <w:r w:rsidR="008E40AC">
        <w:rPr>
          <w:rFonts w:ascii="Verdana" w:hAnsi="Verdana"/>
          <w:color w:val="auto"/>
          <w:sz w:val="22"/>
          <w:szCs w:val="22"/>
        </w:rPr>
        <w:t>w</w:t>
      </w:r>
      <w:r w:rsidR="009E6665">
        <w:rPr>
          <w:rFonts w:ascii="Verdana" w:hAnsi="Verdana"/>
          <w:color w:val="auto"/>
          <w:sz w:val="22"/>
          <w:szCs w:val="22"/>
        </w:rPr>
        <w:t xml:space="preserve">ard </w:t>
      </w:r>
      <w:r w:rsidR="008E40AC">
        <w:rPr>
          <w:rFonts w:ascii="Verdana" w:hAnsi="Verdana"/>
          <w:color w:val="auto"/>
          <w:sz w:val="22"/>
          <w:szCs w:val="22"/>
        </w:rPr>
        <w:t>b</w:t>
      </w:r>
      <w:r w:rsidR="009E6665">
        <w:rPr>
          <w:rFonts w:ascii="Verdana" w:hAnsi="Verdana"/>
          <w:color w:val="auto"/>
          <w:sz w:val="22"/>
          <w:szCs w:val="22"/>
        </w:rPr>
        <w:t>oundary for Queen’s Park</w:t>
      </w:r>
      <w:r w:rsidR="00125647">
        <w:rPr>
          <w:rFonts w:ascii="Verdana" w:hAnsi="Verdana"/>
          <w:color w:val="auto"/>
          <w:sz w:val="22"/>
          <w:szCs w:val="22"/>
        </w:rPr>
        <w:t>,</w:t>
      </w:r>
      <w:r w:rsidR="009E6665">
        <w:rPr>
          <w:rFonts w:ascii="Verdana" w:hAnsi="Verdana"/>
          <w:color w:val="auto"/>
          <w:sz w:val="22"/>
          <w:szCs w:val="22"/>
        </w:rPr>
        <w:t xml:space="preserve"> was designated </w:t>
      </w:r>
      <w:r w:rsidR="00E66A35">
        <w:rPr>
          <w:rFonts w:ascii="Verdana" w:hAnsi="Verdana"/>
          <w:color w:val="auto"/>
          <w:sz w:val="22"/>
          <w:szCs w:val="22"/>
        </w:rPr>
        <w:t xml:space="preserve">for neighbourhood planning </w:t>
      </w:r>
      <w:r w:rsidR="009E6665">
        <w:rPr>
          <w:rFonts w:ascii="Verdana" w:hAnsi="Verdana"/>
          <w:color w:val="auto"/>
          <w:sz w:val="22"/>
          <w:szCs w:val="22"/>
        </w:rPr>
        <w:t>by WCC on 10 January 2014.</w:t>
      </w:r>
      <w:r w:rsidR="00A912A1">
        <w:rPr>
          <w:rFonts w:ascii="Verdana" w:hAnsi="Verdana"/>
          <w:color w:val="auto"/>
          <w:sz w:val="22"/>
          <w:szCs w:val="22"/>
        </w:rPr>
        <w:t xml:space="preserve"> </w:t>
      </w:r>
      <w:r w:rsidR="009E6665">
        <w:rPr>
          <w:rFonts w:ascii="Verdana" w:hAnsi="Verdana"/>
          <w:color w:val="auto"/>
          <w:sz w:val="22"/>
          <w:szCs w:val="22"/>
        </w:rPr>
        <w:t xml:space="preserve"> A first draft QPNP</w:t>
      </w:r>
      <w:r w:rsidR="00887D0A">
        <w:rPr>
          <w:rFonts w:ascii="Verdana" w:hAnsi="Verdana"/>
          <w:color w:val="auto"/>
          <w:sz w:val="22"/>
          <w:szCs w:val="22"/>
        </w:rPr>
        <w:t>,</w:t>
      </w:r>
      <w:r w:rsidR="009E6665">
        <w:rPr>
          <w:rFonts w:ascii="Verdana" w:hAnsi="Verdana"/>
          <w:color w:val="auto"/>
          <w:sz w:val="22"/>
          <w:szCs w:val="22"/>
        </w:rPr>
        <w:t xml:space="preserve"> addressing is</w:t>
      </w:r>
      <w:r w:rsidR="00887D0A">
        <w:rPr>
          <w:rFonts w:ascii="Verdana" w:hAnsi="Verdana"/>
          <w:color w:val="auto"/>
          <w:sz w:val="22"/>
          <w:szCs w:val="22"/>
        </w:rPr>
        <w:t>s</w:t>
      </w:r>
      <w:r w:rsidR="009E6665">
        <w:rPr>
          <w:rFonts w:ascii="Verdana" w:hAnsi="Verdana"/>
          <w:color w:val="auto"/>
          <w:sz w:val="22"/>
          <w:szCs w:val="22"/>
        </w:rPr>
        <w:t xml:space="preserve">ues and concerns raised by local residents, voluntary groups and </w:t>
      </w:r>
      <w:r w:rsidR="00887D0A">
        <w:rPr>
          <w:rFonts w:ascii="Verdana" w:hAnsi="Verdana"/>
          <w:color w:val="auto"/>
          <w:sz w:val="22"/>
          <w:szCs w:val="22"/>
        </w:rPr>
        <w:t xml:space="preserve">commercial parties, </w:t>
      </w:r>
      <w:r w:rsidR="009E6665">
        <w:rPr>
          <w:rFonts w:ascii="Verdana" w:hAnsi="Verdana"/>
          <w:color w:val="auto"/>
          <w:sz w:val="22"/>
          <w:szCs w:val="22"/>
        </w:rPr>
        <w:t xml:space="preserve">was </w:t>
      </w:r>
      <w:r w:rsidR="00192C6E">
        <w:rPr>
          <w:rFonts w:ascii="Verdana" w:hAnsi="Verdana"/>
          <w:color w:val="auto"/>
          <w:sz w:val="22"/>
          <w:szCs w:val="22"/>
        </w:rPr>
        <w:t xml:space="preserve">shared with </w:t>
      </w:r>
      <w:r w:rsidR="009E6665">
        <w:rPr>
          <w:rFonts w:ascii="Verdana" w:hAnsi="Verdana"/>
          <w:color w:val="auto"/>
          <w:sz w:val="22"/>
          <w:szCs w:val="22"/>
        </w:rPr>
        <w:t>WCC in January 2017, and a revised Plan was subject to consultation</w:t>
      </w:r>
      <w:r w:rsidR="00F077D7">
        <w:rPr>
          <w:rFonts w:ascii="Verdana" w:hAnsi="Verdana"/>
          <w:color w:val="auto"/>
          <w:sz w:val="22"/>
          <w:szCs w:val="22"/>
        </w:rPr>
        <w:t>,</w:t>
      </w:r>
      <w:r w:rsidR="009E6665">
        <w:rPr>
          <w:rFonts w:ascii="Verdana" w:hAnsi="Verdana"/>
          <w:color w:val="auto"/>
          <w:sz w:val="22"/>
          <w:szCs w:val="22"/>
        </w:rPr>
        <w:t xml:space="preserve"> in accordance with Regulation 14</w:t>
      </w:r>
      <w:r w:rsidR="00F077D7">
        <w:rPr>
          <w:rFonts w:ascii="Verdana" w:hAnsi="Verdana"/>
          <w:color w:val="auto"/>
          <w:sz w:val="22"/>
          <w:szCs w:val="22"/>
        </w:rPr>
        <w:t>,</w:t>
      </w:r>
      <w:r w:rsidR="009E6665">
        <w:rPr>
          <w:rFonts w:ascii="Verdana" w:hAnsi="Verdana"/>
          <w:color w:val="auto"/>
          <w:sz w:val="22"/>
          <w:szCs w:val="22"/>
        </w:rPr>
        <w:t xml:space="preserve"> between October and December 2017</w:t>
      </w:r>
      <w:r w:rsidR="00192C6E">
        <w:rPr>
          <w:rFonts w:ascii="Verdana" w:hAnsi="Verdana"/>
          <w:color w:val="auto"/>
          <w:sz w:val="22"/>
          <w:szCs w:val="22"/>
        </w:rPr>
        <w:t>.</w:t>
      </w:r>
      <w:r w:rsidR="00E66A35">
        <w:rPr>
          <w:rStyle w:val="FootnoteReference"/>
          <w:rFonts w:ascii="Verdana" w:hAnsi="Verdana"/>
          <w:color w:val="auto"/>
          <w:sz w:val="22"/>
          <w:szCs w:val="22"/>
        </w:rPr>
        <w:footnoteReference w:id="1"/>
      </w:r>
      <w:r w:rsidR="00AF3F27">
        <w:rPr>
          <w:rFonts w:ascii="Verdana" w:hAnsi="Verdana"/>
          <w:color w:val="auto"/>
          <w:sz w:val="22"/>
          <w:szCs w:val="22"/>
        </w:rPr>
        <w:t xml:space="preserve">  The submitted QPNP, April 2020, was consulted on, in accordance with the Regulation 16 requirements, between </w:t>
      </w:r>
      <w:r w:rsidR="00192C6E">
        <w:rPr>
          <w:rFonts w:ascii="Verdana" w:hAnsi="Verdana"/>
          <w:color w:val="auto"/>
          <w:sz w:val="22"/>
          <w:szCs w:val="22"/>
        </w:rPr>
        <w:t xml:space="preserve">26 </w:t>
      </w:r>
      <w:r w:rsidR="00AF3F27">
        <w:rPr>
          <w:rFonts w:ascii="Verdana" w:hAnsi="Verdana"/>
          <w:color w:val="auto"/>
          <w:sz w:val="22"/>
          <w:szCs w:val="22"/>
        </w:rPr>
        <w:t xml:space="preserve">November 2020 and </w:t>
      </w:r>
      <w:r w:rsidR="00192C6E">
        <w:rPr>
          <w:rFonts w:ascii="Verdana" w:hAnsi="Verdana"/>
          <w:color w:val="auto"/>
          <w:sz w:val="22"/>
          <w:szCs w:val="22"/>
        </w:rPr>
        <w:t xml:space="preserve">21 </w:t>
      </w:r>
      <w:r w:rsidR="00AF3F27">
        <w:rPr>
          <w:rFonts w:ascii="Verdana" w:hAnsi="Verdana"/>
          <w:color w:val="auto"/>
          <w:sz w:val="22"/>
          <w:szCs w:val="22"/>
        </w:rPr>
        <w:t>January 2021</w:t>
      </w:r>
      <w:r w:rsidR="003A3751">
        <w:rPr>
          <w:rStyle w:val="FootnoteReference"/>
          <w:rFonts w:ascii="Verdana" w:hAnsi="Verdana"/>
          <w:color w:val="auto"/>
          <w:sz w:val="22"/>
          <w:szCs w:val="22"/>
        </w:rPr>
        <w:footnoteReference w:id="2"/>
      </w:r>
      <w:r w:rsidR="00AF3F27">
        <w:rPr>
          <w:rFonts w:ascii="Verdana" w:hAnsi="Verdana"/>
          <w:color w:val="auto"/>
          <w:sz w:val="22"/>
          <w:szCs w:val="22"/>
        </w:rPr>
        <w:t>.</w:t>
      </w:r>
    </w:p>
    <w:p w14:paraId="44FC55F8" w14:textId="77777777" w:rsidR="00955554" w:rsidRDefault="00955554" w:rsidP="00192C6E">
      <w:pPr>
        <w:ind w:left="0" w:firstLine="0"/>
      </w:pPr>
    </w:p>
    <w:p w14:paraId="1F7ADA4C" w14:textId="77777777" w:rsidR="0083641B" w:rsidRDefault="003E0584" w:rsidP="00192C6E">
      <w:pPr>
        <w:jc w:val="left"/>
        <w:rPr>
          <w:i/>
        </w:rPr>
      </w:pPr>
      <w:r>
        <w:rPr>
          <w:i/>
        </w:rPr>
        <w:t>T</w:t>
      </w:r>
      <w:r w:rsidR="00955554" w:rsidRPr="00955554">
        <w:rPr>
          <w:i/>
        </w:rPr>
        <w:t>he Independent Examiner</w:t>
      </w:r>
    </w:p>
    <w:p w14:paraId="471548DC" w14:textId="77777777" w:rsidR="00955554" w:rsidRPr="00955554" w:rsidRDefault="00955554" w:rsidP="00192C6E">
      <w:pPr>
        <w:jc w:val="left"/>
        <w:rPr>
          <w:i/>
        </w:rPr>
      </w:pPr>
    </w:p>
    <w:p w14:paraId="0716EF7B" w14:textId="72686F8E" w:rsidR="0083641B" w:rsidRDefault="00955554" w:rsidP="00192C6E">
      <w:pPr>
        <w:ind w:left="720" w:hanging="720"/>
        <w:jc w:val="left"/>
      </w:pPr>
      <w:r w:rsidRPr="00333B68">
        <w:t>1.</w:t>
      </w:r>
      <w:r w:rsidR="00887D0A">
        <w:t xml:space="preserve">3 </w:t>
      </w:r>
      <w:r w:rsidR="00C5005A">
        <w:tab/>
      </w:r>
      <w:r w:rsidR="00A73AD5">
        <w:t>As th</w:t>
      </w:r>
      <w:r w:rsidR="001365AC">
        <w:t xml:space="preserve">e </w:t>
      </w:r>
      <w:r w:rsidR="00E718D8">
        <w:t>P</w:t>
      </w:r>
      <w:r w:rsidR="00A73AD5">
        <w:t xml:space="preserve">lan has </w:t>
      </w:r>
      <w:r w:rsidR="00735E60">
        <w:t xml:space="preserve">now </w:t>
      </w:r>
      <w:r w:rsidR="00A73AD5">
        <w:t xml:space="preserve">reached the examination stage, </w:t>
      </w:r>
      <w:r w:rsidR="00B87641" w:rsidRPr="00333B68">
        <w:t xml:space="preserve">I have been appointed as </w:t>
      </w:r>
      <w:r w:rsidR="00333B68" w:rsidRPr="00333B68">
        <w:t>the</w:t>
      </w:r>
      <w:r w:rsidR="00B87641" w:rsidRPr="00333B68">
        <w:t xml:space="preserve"> examiner </w:t>
      </w:r>
      <w:r w:rsidR="00333B68" w:rsidRPr="00333B68">
        <w:t xml:space="preserve">of the </w:t>
      </w:r>
      <w:r w:rsidR="00887D0A">
        <w:t>QPNP by WCC</w:t>
      </w:r>
      <w:r w:rsidR="00333B68" w:rsidRPr="00333B68">
        <w:t>,</w:t>
      </w:r>
      <w:r w:rsidR="00B87641" w:rsidRPr="00333B68">
        <w:t xml:space="preserve"> with the agreement of </w:t>
      </w:r>
      <w:r w:rsidR="00B249FD">
        <w:t>QPCC.</w:t>
      </w:r>
    </w:p>
    <w:p w14:paraId="296A53B5" w14:textId="77777777" w:rsidR="00B249FD" w:rsidRPr="00333B68" w:rsidRDefault="00B249FD" w:rsidP="00192C6E">
      <w:pPr>
        <w:ind w:left="720" w:hanging="720"/>
        <w:jc w:val="left"/>
      </w:pPr>
    </w:p>
    <w:p w14:paraId="15EDE86D" w14:textId="656DE43E" w:rsidR="00955554" w:rsidRPr="00333B68" w:rsidRDefault="00887D0A" w:rsidP="00192C6E">
      <w:pPr>
        <w:ind w:left="720" w:hanging="720"/>
        <w:jc w:val="left"/>
      </w:pPr>
      <w:r>
        <w:t xml:space="preserve">1.4 </w:t>
      </w:r>
      <w:r w:rsidR="00C5005A">
        <w:tab/>
      </w:r>
      <w:r w:rsidR="00B87641" w:rsidRPr="00333B68">
        <w:t xml:space="preserve">I am </w:t>
      </w:r>
      <w:r w:rsidR="007C6A53">
        <w:t xml:space="preserve">a chartered town planner and former </w:t>
      </w:r>
      <w:r w:rsidR="00A108B2">
        <w:t xml:space="preserve">government </w:t>
      </w:r>
      <w:r w:rsidR="007C6A53" w:rsidRPr="00923093">
        <w:t>Planning Inspector</w:t>
      </w:r>
      <w:r w:rsidR="00F5450A">
        <w:t>,</w:t>
      </w:r>
      <w:r>
        <w:t xml:space="preserve"> with previous experience examining neighbourhood plans in London and elsewhere</w:t>
      </w:r>
      <w:r w:rsidR="00B2297D">
        <w:t>.</w:t>
      </w:r>
      <w:r>
        <w:t xml:space="preserve"> </w:t>
      </w:r>
      <w:r w:rsidR="00B2297D">
        <w:t xml:space="preserve"> </w:t>
      </w:r>
      <w:r w:rsidR="00B87641" w:rsidRPr="00333B68">
        <w:t xml:space="preserve">I am </w:t>
      </w:r>
      <w:r w:rsidR="007C6A53">
        <w:t xml:space="preserve">an </w:t>
      </w:r>
      <w:r w:rsidR="00B87641" w:rsidRPr="00333B68">
        <w:t xml:space="preserve">independent </w:t>
      </w:r>
      <w:r w:rsidR="007C6A53">
        <w:t xml:space="preserve">examiner, </w:t>
      </w:r>
      <w:r w:rsidR="00333B68" w:rsidRPr="00333B68">
        <w:t xml:space="preserve">and do not have an interest in any of the land that may be affected by the draft </w:t>
      </w:r>
      <w:r w:rsidR="0038720C">
        <w:t>P</w:t>
      </w:r>
      <w:r w:rsidR="00333B68" w:rsidRPr="00333B68">
        <w:t xml:space="preserve">lan. </w:t>
      </w:r>
    </w:p>
    <w:p w14:paraId="62FA4D8D" w14:textId="77777777" w:rsidR="0083641B" w:rsidRDefault="0083641B" w:rsidP="00192C6E">
      <w:pPr>
        <w:jc w:val="left"/>
        <w:rPr>
          <w:i/>
        </w:rPr>
      </w:pPr>
    </w:p>
    <w:p w14:paraId="377DFDA7" w14:textId="77777777" w:rsidR="001E7466" w:rsidRDefault="003E0584" w:rsidP="00192C6E">
      <w:pPr>
        <w:jc w:val="left"/>
        <w:rPr>
          <w:i/>
        </w:rPr>
      </w:pPr>
      <w:r w:rsidRPr="00935330">
        <w:rPr>
          <w:i/>
        </w:rPr>
        <w:t>The Scope of the Examination</w:t>
      </w:r>
    </w:p>
    <w:p w14:paraId="7778CAED" w14:textId="77777777" w:rsidR="0083641B" w:rsidRDefault="0083641B" w:rsidP="00192C6E">
      <w:pPr>
        <w:jc w:val="left"/>
        <w:rPr>
          <w:i/>
        </w:rPr>
      </w:pPr>
    </w:p>
    <w:p w14:paraId="700DEF70" w14:textId="43DA0806" w:rsidR="00B87641" w:rsidRDefault="00935330" w:rsidP="00192C6E">
      <w:pPr>
        <w:spacing w:after="160"/>
        <w:ind w:left="720" w:hanging="720"/>
        <w:jc w:val="left"/>
      </w:pPr>
      <w:r>
        <w:t>1.</w:t>
      </w:r>
      <w:r w:rsidR="00887D0A">
        <w:t xml:space="preserve">5 </w:t>
      </w:r>
      <w:r w:rsidR="00C5005A">
        <w:tab/>
      </w:r>
      <w:r w:rsidR="00B87641">
        <w:t>As the independent examiner I am required to produce this report and recommend either:</w:t>
      </w:r>
    </w:p>
    <w:p w14:paraId="61A799F1" w14:textId="2E34AA0B" w:rsidR="00B87641" w:rsidRDefault="00B87641" w:rsidP="00192C6E">
      <w:pPr>
        <w:spacing w:after="160"/>
        <w:ind w:left="720" w:firstLine="0"/>
        <w:jc w:val="left"/>
      </w:pPr>
      <w:r>
        <w:t>(a) that the neighbourhood plan is submitted to a referendum without changes; or</w:t>
      </w:r>
    </w:p>
    <w:p w14:paraId="75C98EEF" w14:textId="13A551BF" w:rsidR="00B87641" w:rsidRDefault="00B87641" w:rsidP="00192C6E">
      <w:pPr>
        <w:spacing w:after="160"/>
        <w:ind w:left="720" w:firstLine="0"/>
        <w:jc w:val="left"/>
      </w:pPr>
      <w:r>
        <w:t>(b) that modifications are made and that the modified neighbourhood plan is submitted to a referendum; or</w:t>
      </w:r>
    </w:p>
    <w:p w14:paraId="507D659A" w14:textId="0629B99D" w:rsidR="00B87641" w:rsidRDefault="00B87641" w:rsidP="00192C6E">
      <w:pPr>
        <w:ind w:left="720" w:firstLine="0"/>
        <w:jc w:val="left"/>
      </w:pPr>
      <w:r>
        <w:t xml:space="preserve">(c) that the neighbourhood plan does not proceed to a referendum on the basis that it does not meet the necessary legal requirements. </w:t>
      </w:r>
    </w:p>
    <w:p w14:paraId="75AFABAB" w14:textId="77777777" w:rsidR="00935330" w:rsidRDefault="00935330" w:rsidP="00192C6E">
      <w:pPr>
        <w:jc w:val="left"/>
      </w:pPr>
    </w:p>
    <w:p w14:paraId="6F59C072" w14:textId="09C26CF8" w:rsidR="00935330" w:rsidRDefault="00B87641" w:rsidP="00192C6E">
      <w:pPr>
        <w:ind w:left="720" w:hanging="720"/>
        <w:jc w:val="left"/>
      </w:pPr>
      <w:r>
        <w:t>1.</w:t>
      </w:r>
      <w:r w:rsidR="00887D0A">
        <w:t>6</w:t>
      </w:r>
      <w:r>
        <w:t xml:space="preserve"> </w:t>
      </w:r>
      <w:r w:rsidR="00C5005A">
        <w:tab/>
      </w:r>
      <w:r>
        <w:t xml:space="preserve">The </w:t>
      </w:r>
      <w:r w:rsidR="002B0246">
        <w:t xml:space="preserve">scope of the </w:t>
      </w:r>
      <w:r>
        <w:t>exa</w:t>
      </w:r>
      <w:r w:rsidR="00D83E1F">
        <w:t xml:space="preserve">mination </w:t>
      </w:r>
      <w:r w:rsidR="002B0246">
        <w:t xml:space="preserve">is set out in </w:t>
      </w:r>
      <w:r>
        <w:t>Paragra</w:t>
      </w:r>
      <w:r w:rsidR="00D83E1F">
        <w:t>ph</w:t>
      </w:r>
      <w:r>
        <w:t xml:space="preserve"> 8(1) of</w:t>
      </w:r>
      <w:r w:rsidR="00E82D45">
        <w:t xml:space="preserve"> Schedule 4B to</w:t>
      </w:r>
      <w:r>
        <w:t xml:space="preserve"> the Town and Country Planning Act 1990</w:t>
      </w:r>
      <w:r w:rsidR="001D32D9">
        <w:t xml:space="preserve"> (as </w:t>
      </w:r>
      <w:proofErr w:type="gramStart"/>
      <w:r w:rsidR="001D32D9">
        <w:t>amended)</w:t>
      </w:r>
      <w:r w:rsidR="0083641B">
        <w:t>(</w:t>
      </w:r>
      <w:proofErr w:type="gramEnd"/>
      <w:r w:rsidR="0083641B">
        <w:t>‘the 1990 Act’)</w:t>
      </w:r>
      <w:r w:rsidR="00D83E1F">
        <w:t xml:space="preserve">. </w:t>
      </w:r>
      <w:r w:rsidR="00887D0A">
        <w:t xml:space="preserve"> </w:t>
      </w:r>
      <w:r w:rsidR="005F4B5D">
        <w:t>The examiner must consider</w:t>
      </w:r>
      <w:r w:rsidR="00D83E1F">
        <w:t xml:space="preserve">: </w:t>
      </w:r>
    </w:p>
    <w:p w14:paraId="6138C308" w14:textId="77777777" w:rsidR="00917828" w:rsidRDefault="00917828" w:rsidP="00192C6E">
      <w:pPr>
        <w:jc w:val="left"/>
      </w:pPr>
    </w:p>
    <w:p w14:paraId="43D836EA" w14:textId="74C50D38" w:rsidR="007C2442" w:rsidRDefault="00E718D8" w:rsidP="003A3751">
      <w:pPr>
        <w:pStyle w:val="ListParagraph"/>
        <w:numPr>
          <w:ilvl w:val="0"/>
          <w:numId w:val="8"/>
        </w:numPr>
        <w:spacing w:after="160"/>
        <w:ind w:left="1418" w:hanging="425"/>
        <w:jc w:val="left"/>
      </w:pPr>
      <w:r>
        <w:t xml:space="preserve">Whether the </w:t>
      </w:r>
      <w:r w:rsidR="00E16725">
        <w:t>p</w:t>
      </w:r>
      <w:r w:rsidR="007C2442">
        <w:t>lan meets the Basic Conditions</w:t>
      </w:r>
      <w:r w:rsidR="00192C6E">
        <w:t>.</w:t>
      </w:r>
    </w:p>
    <w:p w14:paraId="46992364" w14:textId="77777777" w:rsidR="003A3751" w:rsidRDefault="003A3751" w:rsidP="003A3751">
      <w:pPr>
        <w:pStyle w:val="ListParagraph"/>
        <w:spacing w:after="160"/>
        <w:ind w:left="1418" w:firstLine="0"/>
        <w:jc w:val="left"/>
      </w:pPr>
    </w:p>
    <w:p w14:paraId="58BF8F4A" w14:textId="0164ECE1" w:rsidR="007C2442" w:rsidRDefault="007C2442" w:rsidP="00192C6E">
      <w:pPr>
        <w:pStyle w:val="ListParagraph"/>
        <w:numPr>
          <w:ilvl w:val="0"/>
          <w:numId w:val="8"/>
        </w:numPr>
        <w:spacing w:after="160"/>
        <w:ind w:left="1418" w:hanging="425"/>
        <w:jc w:val="left"/>
      </w:pPr>
      <w:r>
        <w:t xml:space="preserve">Whether the </w:t>
      </w:r>
      <w:r w:rsidR="00E16725">
        <w:t>p</w:t>
      </w:r>
      <w:r>
        <w:t>lan complies with provisions under s.38A and s.38B of the Planning and Compulsory Purchase Act 2004 (as amended)</w:t>
      </w:r>
      <w:r w:rsidR="00060C6F">
        <w:t xml:space="preserve"> (‘the 2004 Act’)</w:t>
      </w:r>
      <w:r>
        <w:t>. These are:</w:t>
      </w:r>
    </w:p>
    <w:p w14:paraId="47E8F362" w14:textId="77777777" w:rsidR="007C2442" w:rsidRDefault="007C2442" w:rsidP="00192C6E">
      <w:pPr>
        <w:spacing w:after="160"/>
        <w:ind w:left="1843" w:hanging="425"/>
        <w:jc w:val="left"/>
      </w:pPr>
      <w:r>
        <w:t xml:space="preserve">- </w:t>
      </w:r>
      <w:r>
        <w:tab/>
        <w:t xml:space="preserve">it has been prepared and submitted for examination by a qualifying body, for an area that has been properly designated by the </w:t>
      </w:r>
      <w:r w:rsidR="0087061E">
        <w:t>l</w:t>
      </w:r>
      <w:r>
        <w:t xml:space="preserve">ocal </w:t>
      </w:r>
      <w:r w:rsidR="0087061E">
        <w:t>p</w:t>
      </w:r>
      <w:r>
        <w:t xml:space="preserve">lanning </w:t>
      </w:r>
      <w:proofErr w:type="gramStart"/>
      <w:r w:rsidR="0087061E">
        <w:t>a</w:t>
      </w:r>
      <w:r>
        <w:t>uthority;</w:t>
      </w:r>
      <w:proofErr w:type="gramEnd"/>
    </w:p>
    <w:p w14:paraId="4ECDC6D9" w14:textId="77777777" w:rsidR="007C2442" w:rsidRDefault="007C2442" w:rsidP="00192C6E">
      <w:pPr>
        <w:spacing w:after="160"/>
        <w:ind w:left="1843" w:hanging="425"/>
        <w:jc w:val="left"/>
      </w:pPr>
      <w:r>
        <w:t>-</w:t>
      </w:r>
      <w:r>
        <w:tab/>
        <w:t xml:space="preserve">it sets out policies in relation to the development and use of </w:t>
      </w:r>
      <w:proofErr w:type="gramStart"/>
      <w:r>
        <w:t>land;</w:t>
      </w:r>
      <w:proofErr w:type="gramEnd"/>
      <w:r>
        <w:t xml:space="preserve"> </w:t>
      </w:r>
    </w:p>
    <w:p w14:paraId="47526147" w14:textId="77777777" w:rsidR="007C2442" w:rsidRDefault="007C2442" w:rsidP="00192C6E">
      <w:pPr>
        <w:pStyle w:val="ListParagraph"/>
        <w:numPr>
          <w:ilvl w:val="0"/>
          <w:numId w:val="9"/>
        </w:numPr>
        <w:tabs>
          <w:tab w:val="left" w:pos="1843"/>
        </w:tabs>
        <w:spacing w:after="160"/>
        <w:ind w:hanging="720"/>
        <w:jc w:val="left"/>
      </w:pPr>
      <w:r>
        <w:t xml:space="preserve">it specifies the period during which it has </w:t>
      </w:r>
      <w:proofErr w:type="gramStart"/>
      <w:r>
        <w:t>effect;</w:t>
      </w:r>
      <w:proofErr w:type="gramEnd"/>
    </w:p>
    <w:p w14:paraId="3E6AB098" w14:textId="77777777" w:rsidR="007C2442" w:rsidRDefault="007C2442" w:rsidP="00192C6E">
      <w:pPr>
        <w:pStyle w:val="ListParagraph"/>
        <w:tabs>
          <w:tab w:val="left" w:pos="1755"/>
        </w:tabs>
        <w:spacing w:after="160"/>
        <w:ind w:left="2138" w:firstLine="0"/>
        <w:jc w:val="left"/>
      </w:pPr>
    </w:p>
    <w:p w14:paraId="1060AA53" w14:textId="77777777" w:rsidR="0028507A" w:rsidRDefault="0028507A" w:rsidP="00192C6E">
      <w:pPr>
        <w:pStyle w:val="ListParagraph"/>
        <w:numPr>
          <w:ilvl w:val="0"/>
          <w:numId w:val="9"/>
        </w:numPr>
        <w:tabs>
          <w:tab w:val="left" w:pos="1843"/>
        </w:tabs>
        <w:spacing w:after="160"/>
        <w:ind w:left="1843" w:hanging="425"/>
        <w:jc w:val="left"/>
      </w:pPr>
      <w:r>
        <w:t>it does not include provisions and policies for ‘excluded development’; and</w:t>
      </w:r>
    </w:p>
    <w:p w14:paraId="6772F62F" w14:textId="77777777" w:rsidR="0028507A" w:rsidRDefault="0028507A" w:rsidP="00192C6E">
      <w:pPr>
        <w:pStyle w:val="ListParagraph"/>
      </w:pPr>
    </w:p>
    <w:p w14:paraId="405B6694" w14:textId="77777777" w:rsidR="0028507A" w:rsidRDefault="0028507A" w:rsidP="00192C6E">
      <w:pPr>
        <w:pStyle w:val="ListParagraph"/>
        <w:numPr>
          <w:ilvl w:val="0"/>
          <w:numId w:val="9"/>
        </w:numPr>
        <w:tabs>
          <w:tab w:val="left" w:pos="1843"/>
        </w:tabs>
        <w:ind w:left="1843" w:hanging="425"/>
        <w:jc w:val="left"/>
      </w:pPr>
      <w:r>
        <w:t>it is the only neighbourhood plan for the area and does not relate to land outside the designated neighbourhood area.</w:t>
      </w:r>
    </w:p>
    <w:p w14:paraId="0D7B1F20" w14:textId="77777777" w:rsidR="0028507A" w:rsidRDefault="0028507A" w:rsidP="00192C6E">
      <w:pPr>
        <w:pStyle w:val="ListParagraph"/>
      </w:pPr>
    </w:p>
    <w:p w14:paraId="655A8875" w14:textId="05F73C20" w:rsidR="0028507A" w:rsidRDefault="0028507A" w:rsidP="00192C6E">
      <w:pPr>
        <w:pStyle w:val="ListParagraph"/>
        <w:numPr>
          <w:ilvl w:val="0"/>
          <w:numId w:val="14"/>
        </w:numPr>
        <w:spacing w:after="160"/>
        <w:ind w:left="1418" w:hanging="425"/>
        <w:jc w:val="left"/>
      </w:pPr>
      <w:r>
        <w:t>Whether the referendum boundary should be extended beyond the designated area, should the plan proceed to referendum</w:t>
      </w:r>
      <w:r w:rsidR="00E42756">
        <w:t>.</w:t>
      </w:r>
    </w:p>
    <w:p w14:paraId="4765BC8E" w14:textId="54A5527E" w:rsidR="0028507A" w:rsidRDefault="0028507A" w:rsidP="00192C6E">
      <w:pPr>
        <w:pStyle w:val="ListParagraph"/>
        <w:spacing w:after="160"/>
        <w:ind w:left="1418" w:firstLine="0"/>
        <w:jc w:val="left"/>
      </w:pPr>
      <w:r>
        <w:t xml:space="preserve"> </w:t>
      </w:r>
    </w:p>
    <w:p w14:paraId="1DCEAF85" w14:textId="77777777" w:rsidR="007C2442" w:rsidRDefault="007C2442" w:rsidP="00192C6E">
      <w:pPr>
        <w:pStyle w:val="ListParagraph"/>
        <w:numPr>
          <w:ilvl w:val="0"/>
          <w:numId w:val="2"/>
        </w:numPr>
        <w:tabs>
          <w:tab w:val="clear" w:pos="720"/>
          <w:tab w:val="num" w:pos="1560"/>
        </w:tabs>
        <w:ind w:left="1418"/>
        <w:jc w:val="left"/>
      </w:pPr>
      <w:r>
        <w:t xml:space="preserve">Such matters as prescribed in the Neighbourhood Planning (General) Regulations 2012 </w:t>
      </w:r>
      <w:r w:rsidR="0087061E">
        <w:t xml:space="preserve">(as </w:t>
      </w:r>
      <w:proofErr w:type="gramStart"/>
      <w:r w:rsidR="0087061E">
        <w:t>amended)</w:t>
      </w:r>
      <w:r>
        <w:t>(</w:t>
      </w:r>
      <w:proofErr w:type="gramEnd"/>
      <w:r>
        <w:t>‘the 2012 Regulations’).</w:t>
      </w:r>
    </w:p>
    <w:p w14:paraId="1D304D5F" w14:textId="77777777" w:rsidR="007C2442" w:rsidRDefault="007C2442" w:rsidP="00192C6E">
      <w:pPr>
        <w:pStyle w:val="ListParagraph"/>
        <w:tabs>
          <w:tab w:val="num" w:pos="1560"/>
        </w:tabs>
        <w:ind w:left="1418" w:firstLine="0"/>
        <w:jc w:val="left"/>
      </w:pPr>
    </w:p>
    <w:p w14:paraId="6114F6FF" w14:textId="6B728A1A" w:rsidR="001D32D9" w:rsidRPr="001D32D9" w:rsidRDefault="002B328A" w:rsidP="00192C6E">
      <w:pPr>
        <w:ind w:left="720" w:hanging="720"/>
        <w:jc w:val="left"/>
      </w:pPr>
      <w:r>
        <w:t>1.</w:t>
      </w:r>
      <w:r w:rsidR="00887D0A">
        <w:t xml:space="preserve">7 </w:t>
      </w:r>
      <w:r w:rsidR="00C5005A">
        <w:tab/>
      </w:r>
      <w:r w:rsidR="001D32D9" w:rsidRPr="001D32D9">
        <w:t xml:space="preserve">I </w:t>
      </w:r>
      <w:r w:rsidR="00A003A7">
        <w:t xml:space="preserve">have </w:t>
      </w:r>
      <w:r w:rsidR="001D32D9" w:rsidRPr="001D32D9">
        <w:t>consider</w:t>
      </w:r>
      <w:r w:rsidR="00A003A7">
        <w:t>ed</w:t>
      </w:r>
      <w:r w:rsidR="00887D0A">
        <w:t xml:space="preserve"> </w:t>
      </w:r>
      <w:r w:rsidR="007C6A53">
        <w:t>only</w:t>
      </w:r>
      <w:r w:rsidR="001D32D9" w:rsidRPr="001D32D9">
        <w:t xml:space="preserve"> matter</w:t>
      </w:r>
      <w:r w:rsidR="007C6A53">
        <w:t>s</w:t>
      </w:r>
      <w:r w:rsidR="001D32D9" w:rsidRPr="001D32D9">
        <w:t xml:space="preserve"> that fall within </w:t>
      </w:r>
      <w:r w:rsidR="007C2442">
        <w:t>P</w:t>
      </w:r>
      <w:r w:rsidR="001D32D9" w:rsidRPr="001D32D9">
        <w:t>aragraph 8(1)</w:t>
      </w:r>
      <w:r w:rsidR="00035100">
        <w:t xml:space="preserve"> </w:t>
      </w:r>
      <w:r w:rsidR="00F5450A">
        <w:t xml:space="preserve">of Schedule 4B to the </w:t>
      </w:r>
      <w:r w:rsidR="0083641B">
        <w:t>1990 Act</w:t>
      </w:r>
      <w:r w:rsidR="007C6A53">
        <w:t xml:space="preserve">, with one </w:t>
      </w:r>
      <w:r w:rsidR="004F6D8C">
        <w:t>exception</w:t>
      </w:r>
      <w:r w:rsidR="007C6A53">
        <w:t>.  That is</w:t>
      </w:r>
      <w:r w:rsidR="001D32D9" w:rsidRPr="001D32D9">
        <w:t xml:space="preserve"> the requ</w:t>
      </w:r>
      <w:r w:rsidR="001D32D9">
        <w:t>irement that the P</w:t>
      </w:r>
      <w:r w:rsidR="001D32D9" w:rsidRPr="001D32D9">
        <w:t xml:space="preserve">lan </w:t>
      </w:r>
      <w:proofErr w:type="gramStart"/>
      <w:r w:rsidR="001D32D9" w:rsidRPr="001D32D9">
        <w:t>is</w:t>
      </w:r>
      <w:proofErr w:type="gramEnd"/>
      <w:r w:rsidR="001D32D9" w:rsidRPr="001D32D9">
        <w:t xml:space="preserve"> com</w:t>
      </w:r>
      <w:r w:rsidR="001D32D9">
        <w:t xml:space="preserve">patible </w:t>
      </w:r>
      <w:r w:rsidR="001D32D9" w:rsidRPr="001D32D9">
        <w:t>with the Human Rights</w:t>
      </w:r>
      <w:r w:rsidR="00887D0A">
        <w:t xml:space="preserve"> </w:t>
      </w:r>
      <w:r w:rsidR="001D32D9" w:rsidRPr="001D32D9">
        <w:t>Conve</w:t>
      </w:r>
      <w:r w:rsidR="001D32D9">
        <w:t>ntion</w:t>
      </w:r>
      <w:r w:rsidR="001D32D9" w:rsidRPr="001D32D9">
        <w:t xml:space="preserve">. </w:t>
      </w:r>
    </w:p>
    <w:p w14:paraId="7C548B65" w14:textId="77777777" w:rsidR="00917828" w:rsidRDefault="00917828" w:rsidP="00192C6E">
      <w:pPr>
        <w:jc w:val="left"/>
        <w:rPr>
          <w:i/>
        </w:rPr>
      </w:pPr>
    </w:p>
    <w:p w14:paraId="52749E12" w14:textId="77777777" w:rsidR="002B0246" w:rsidRDefault="002B328A" w:rsidP="00192C6E">
      <w:pPr>
        <w:jc w:val="left"/>
      </w:pPr>
      <w:r>
        <w:rPr>
          <w:i/>
        </w:rPr>
        <w:t xml:space="preserve">The </w:t>
      </w:r>
      <w:r w:rsidR="002B0246" w:rsidRPr="00935330">
        <w:rPr>
          <w:i/>
        </w:rPr>
        <w:t>Basic Condition</w:t>
      </w:r>
      <w:r w:rsidR="002B0246">
        <w:t>s</w:t>
      </w:r>
    </w:p>
    <w:p w14:paraId="5EE10675" w14:textId="77777777" w:rsidR="00917828" w:rsidRDefault="00917828" w:rsidP="00192C6E">
      <w:pPr>
        <w:jc w:val="left"/>
      </w:pPr>
    </w:p>
    <w:p w14:paraId="79C1A23F" w14:textId="15E0DC44" w:rsidR="002B0246" w:rsidRDefault="002B328A" w:rsidP="00192C6E">
      <w:pPr>
        <w:spacing w:after="160"/>
        <w:ind w:left="720" w:hanging="720"/>
        <w:jc w:val="left"/>
      </w:pPr>
      <w:r>
        <w:t>1.</w:t>
      </w:r>
      <w:r w:rsidR="00887D0A">
        <w:t>8</w:t>
      </w:r>
      <w:r>
        <w:t xml:space="preserve"> </w:t>
      </w:r>
      <w:r w:rsidR="00C5005A">
        <w:tab/>
      </w:r>
      <w:r>
        <w:t>The</w:t>
      </w:r>
      <w:r w:rsidR="002B0246">
        <w:t xml:space="preserve"> ‘Basic Conditions’</w:t>
      </w:r>
      <w:r w:rsidR="00413C57">
        <w:t xml:space="preserve"> are</w:t>
      </w:r>
      <w:r w:rsidR="002B0246">
        <w:t xml:space="preserve"> set out in </w:t>
      </w:r>
      <w:r w:rsidR="007C2442">
        <w:t>P</w:t>
      </w:r>
      <w:r w:rsidR="002B0246">
        <w:t>aragraph 8(2) of Schedule 4B to the 1990</w:t>
      </w:r>
      <w:r w:rsidR="00192C6E">
        <w:t xml:space="preserve"> </w:t>
      </w:r>
      <w:r w:rsidR="0083641B">
        <w:t>Act</w:t>
      </w:r>
      <w:r w:rsidR="002B0246">
        <w:t xml:space="preserve">. </w:t>
      </w:r>
      <w:proofErr w:type="gramStart"/>
      <w:r w:rsidR="002B0246">
        <w:t>In order to</w:t>
      </w:r>
      <w:proofErr w:type="gramEnd"/>
      <w:r w:rsidR="002B0246">
        <w:t xml:space="preserve"> meet the </w:t>
      </w:r>
      <w:r w:rsidR="00BB191A">
        <w:t>B</w:t>
      </w:r>
      <w:r w:rsidR="002B0246">
        <w:t xml:space="preserve">asic </w:t>
      </w:r>
      <w:r w:rsidR="00BB191A">
        <w:t>C</w:t>
      </w:r>
      <w:r w:rsidR="002B0246">
        <w:t>onditions, the neighbourhood plan must:</w:t>
      </w:r>
    </w:p>
    <w:p w14:paraId="147A52BC" w14:textId="77777777" w:rsidR="007C2442" w:rsidRDefault="002B0246" w:rsidP="00192C6E">
      <w:pPr>
        <w:pStyle w:val="ListParagraph"/>
        <w:numPr>
          <w:ilvl w:val="0"/>
          <w:numId w:val="7"/>
        </w:numPr>
        <w:tabs>
          <w:tab w:val="left" w:pos="1276"/>
        </w:tabs>
        <w:spacing w:after="160"/>
        <w:jc w:val="left"/>
      </w:pPr>
      <w:r>
        <w:tab/>
      </w:r>
      <w:r w:rsidR="007C2442">
        <w:t xml:space="preserve">Have regard to national policies and advice contained in guidance issued by the Secretary of </w:t>
      </w:r>
      <w:proofErr w:type="gramStart"/>
      <w:r w:rsidR="007C2442">
        <w:t>State;</w:t>
      </w:r>
      <w:proofErr w:type="gramEnd"/>
    </w:p>
    <w:p w14:paraId="33C4B5E9" w14:textId="77777777" w:rsidR="007C2442" w:rsidRDefault="007C2442" w:rsidP="00192C6E">
      <w:pPr>
        <w:pStyle w:val="ListParagraph"/>
        <w:tabs>
          <w:tab w:val="left" w:pos="1276"/>
        </w:tabs>
        <w:spacing w:after="160"/>
        <w:ind w:left="1287" w:firstLine="0"/>
        <w:jc w:val="left"/>
      </w:pPr>
    </w:p>
    <w:p w14:paraId="1C838DA7" w14:textId="77777777" w:rsidR="007C2442" w:rsidRDefault="007C2442" w:rsidP="00192C6E">
      <w:pPr>
        <w:pStyle w:val="ListParagraph"/>
        <w:numPr>
          <w:ilvl w:val="0"/>
          <w:numId w:val="7"/>
        </w:numPr>
        <w:tabs>
          <w:tab w:val="left" w:pos="993"/>
        </w:tabs>
        <w:spacing w:after="160"/>
        <w:jc w:val="left"/>
      </w:pPr>
      <w:r>
        <w:t xml:space="preserve">Contribute to the achievement of sustainable </w:t>
      </w:r>
      <w:proofErr w:type="gramStart"/>
      <w:r>
        <w:t>development;</w:t>
      </w:r>
      <w:proofErr w:type="gramEnd"/>
    </w:p>
    <w:p w14:paraId="7DDE099E" w14:textId="77777777" w:rsidR="007C2442" w:rsidRDefault="007C2442" w:rsidP="00192C6E">
      <w:pPr>
        <w:pStyle w:val="ListParagraph"/>
        <w:tabs>
          <w:tab w:val="left" w:pos="993"/>
        </w:tabs>
        <w:spacing w:after="160"/>
        <w:ind w:left="1287" w:firstLine="0"/>
        <w:jc w:val="left"/>
      </w:pPr>
    </w:p>
    <w:p w14:paraId="4A23FD51" w14:textId="77777777" w:rsidR="007C2442" w:rsidRDefault="007C2442" w:rsidP="00192C6E">
      <w:pPr>
        <w:pStyle w:val="ListParagraph"/>
        <w:numPr>
          <w:ilvl w:val="0"/>
          <w:numId w:val="7"/>
        </w:numPr>
        <w:tabs>
          <w:tab w:val="left" w:pos="993"/>
        </w:tabs>
        <w:spacing w:after="160"/>
        <w:jc w:val="left"/>
      </w:pPr>
      <w:r>
        <w:t xml:space="preserve">Be in general conformity with the strategic policies of the development plan for the </w:t>
      </w:r>
      <w:proofErr w:type="gramStart"/>
      <w:r>
        <w:t>area;</w:t>
      </w:r>
      <w:proofErr w:type="gramEnd"/>
      <w:r>
        <w:t xml:space="preserve"> </w:t>
      </w:r>
    </w:p>
    <w:p w14:paraId="61B9DD46" w14:textId="77777777" w:rsidR="007C2442" w:rsidRDefault="007C2442" w:rsidP="00192C6E">
      <w:pPr>
        <w:pStyle w:val="ListParagraph"/>
        <w:tabs>
          <w:tab w:val="left" w:pos="993"/>
        </w:tabs>
        <w:spacing w:after="160"/>
        <w:ind w:left="1287" w:firstLine="0"/>
        <w:jc w:val="left"/>
      </w:pPr>
    </w:p>
    <w:p w14:paraId="326A9FE5" w14:textId="60379E70" w:rsidR="007C2442" w:rsidRDefault="007C2442" w:rsidP="00192C6E">
      <w:pPr>
        <w:pStyle w:val="ListParagraph"/>
        <w:numPr>
          <w:ilvl w:val="0"/>
          <w:numId w:val="7"/>
        </w:numPr>
        <w:tabs>
          <w:tab w:val="left" w:pos="993"/>
        </w:tabs>
        <w:spacing w:after="160"/>
        <w:jc w:val="left"/>
      </w:pPr>
      <w:r>
        <w:t>Be compatible with and not breach European Union (EU) obligations</w:t>
      </w:r>
      <w:r w:rsidR="00192C6E">
        <w:t xml:space="preserve"> (under retained EU law)</w:t>
      </w:r>
      <w:r w:rsidR="00192C6E">
        <w:rPr>
          <w:rStyle w:val="FootnoteReference"/>
        </w:rPr>
        <w:footnoteReference w:id="3"/>
      </w:r>
      <w:r>
        <w:t>; and</w:t>
      </w:r>
    </w:p>
    <w:p w14:paraId="3F84E963" w14:textId="77777777" w:rsidR="007C2442" w:rsidRDefault="007C2442" w:rsidP="00192C6E">
      <w:pPr>
        <w:pStyle w:val="ListParagraph"/>
        <w:tabs>
          <w:tab w:val="left" w:pos="993"/>
        </w:tabs>
        <w:spacing w:after="160"/>
        <w:ind w:left="1287" w:firstLine="0"/>
        <w:jc w:val="left"/>
      </w:pPr>
    </w:p>
    <w:p w14:paraId="68FA4298" w14:textId="77777777" w:rsidR="007C2442" w:rsidRDefault="007C2442" w:rsidP="00192C6E">
      <w:pPr>
        <w:pStyle w:val="ListParagraph"/>
        <w:numPr>
          <w:ilvl w:val="0"/>
          <w:numId w:val="7"/>
        </w:numPr>
        <w:tabs>
          <w:tab w:val="left" w:pos="993"/>
        </w:tabs>
        <w:jc w:val="left"/>
      </w:pPr>
      <w:r>
        <w:t>Meet prescribed conditions and comply with prescribed matters.</w:t>
      </w:r>
    </w:p>
    <w:p w14:paraId="63D9B3EF" w14:textId="77777777" w:rsidR="007C2442" w:rsidRDefault="007C2442" w:rsidP="00192C6E">
      <w:pPr>
        <w:tabs>
          <w:tab w:val="left" w:pos="993"/>
        </w:tabs>
        <w:ind w:left="0" w:firstLine="0"/>
        <w:jc w:val="left"/>
      </w:pPr>
    </w:p>
    <w:p w14:paraId="31D8B530" w14:textId="2B5DB015" w:rsidR="00C84481" w:rsidRDefault="002B0246" w:rsidP="00192C6E">
      <w:pPr>
        <w:tabs>
          <w:tab w:val="left" w:pos="426"/>
        </w:tabs>
        <w:ind w:left="720" w:hanging="720"/>
        <w:jc w:val="left"/>
      </w:pPr>
      <w:r w:rsidRPr="0088415F">
        <w:t>1.</w:t>
      </w:r>
      <w:r w:rsidR="00887D0A">
        <w:t xml:space="preserve">9 </w:t>
      </w:r>
      <w:r w:rsidR="00C5005A">
        <w:tab/>
      </w:r>
      <w:r>
        <w:t xml:space="preserve">Regulation 32 of the </w:t>
      </w:r>
      <w:r w:rsidR="002B328A">
        <w:t xml:space="preserve">2012 </w:t>
      </w:r>
      <w:r>
        <w:t xml:space="preserve">Regulations </w:t>
      </w:r>
      <w:r w:rsidR="002B328A">
        <w:t>p</w:t>
      </w:r>
      <w:r>
        <w:t xml:space="preserve">rescribes a further </w:t>
      </w:r>
      <w:r w:rsidR="0083641B">
        <w:t>B</w:t>
      </w:r>
      <w:r>
        <w:t xml:space="preserve">asic </w:t>
      </w:r>
      <w:r w:rsidR="0083641B">
        <w:t>C</w:t>
      </w:r>
      <w:r>
        <w:t>ondition</w:t>
      </w:r>
      <w:r w:rsidR="00A108B2">
        <w:t xml:space="preserve"> for a neighbourhood plan</w:t>
      </w:r>
      <w:r>
        <w:t xml:space="preserve">. </w:t>
      </w:r>
      <w:r w:rsidR="00C84481">
        <w:t>This requires that the making of the neighbourhood development plan does not breach the requirements of Chapter 8 of Part 6 of the Conservation of Habitats and Species Regulations 2017</w:t>
      </w:r>
      <w:r w:rsidR="00192C6E">
        <w:t>.</w:t>
      </w:r>
      <w:r w:rsidR="00C84481">
        <w:rPr>
          <w:rStyle w:val="FootnoteReference"/>
        </w:rPr>
        <w:footnoteReference w:id="4"/>
      </w:r>
      <w:r w:rsidR="00C84481">
        <w:t xml:space="preserve"> </w:t>
      </w:r>
    </w:p>
    <w:p w14:paraId="61ABB259" w14:textId="107D5642" w:rsidR="002B0246" w:rsidRDefault="002B0246" w:rsidP="00917828">
      <w:pPr>
        <w:spacing w:line="259" w:lineRule="auto"/>
        <w:jc w:val="left"/>
      </w:pPr>
    </w:p>
    <w:p w14:paraId="3362D5E8" w14:textId="77777777" w:rsidR="004C0AB0" w:rsidRDefault="004C0AB0" w:rsidP="00917828">
      <w:pPr>
        <w:spacing w:line="259" w:lineRule="auto"/>
        <w:jc w:val="left"/>
      </w:pPr>
    </w:p>
    <w:p w14:paraId="1C563D74" w14:textId="77777777" w:rsidR="00514D35" w:rsidRDefault="00763B54" w:rsidP="00192C6E">
      <w:pPr>
        <w:pStyle w:val="ListParagraph"/>
        <w:numPr>
          <w:ilvl w:val="2"/>
          <w:numId w:val="1"/>
        </w:numPr>
        <w:ind w:left="360"/>
        <w:jc w:val="left"/>
        <w:rPr>
          <w:b/>
        </w:rPr>
      </w:pPr>
      <w:r>
        <w:rPr>
          <w:b/>
        </w:rPr>
        <w:t xml:space="preserve">Approach to the </w:t>
      </w:r>
      <w:r w:rsidR="005C46B1">
        <w:rPr>
          <w:b/>
        </w:rPr>
        <w:t>Examination</w:t>
      </w:r>
    </w:p>
    <w:p w14:paraId="33804AD5" w14:textId="77777777" w:rsidR="0083641B" w:rsidRPr="00514D35" w:rsidRDefault="0083641B" w:rsidP="00192C6E">
      <w:pPr>
        <w:pStyle w:val="ListParagraph"/>
        <w:ind w:left="360" w:firstLine="0"/>
        <w:jc w:val="left"/>
        <w:rPr>
          <w:b/>
        </w:rPr>
      </w:pPr>
    </w:p>
    <w:p w14:paraId="5BC38FFD" w14:textId="77777777" w:rsidR="00846A98" w:rsidRDefault="00846A98" w:rsidP="00192C6E">
      <w:pPr>
        <w:jc w:val="left"/>
        <w:rPr>
          <w:i/>
        </w:rPr>
      </w:pPr>
      <w:r w:rsidRPr="00514D35">
        <w:rPr>
          <w:i/>
        </w:rPr>
        <w:t>Planning Policy Context</w:t>
      </w:r>
    </w:p>
    <w:p w14:paraId="7877C91A" w14:textId="77777777" w:rsidR="0083641B" w:rsidRPr="00514D35" w:rsidRDefault="0083641B" w:rsidP="00192C6E">
      <w:pPr>
        <w:jc w:val="left"/>
        <w:rPr>
          <w:i/>
        </w:rPr>
      </w:pPr>
    </w:p>
    <w:p w14:paraId="266AF5BD" w14:textId="7580E25B" w:rsidR="001D0ABF" w:rsidRDefault="009641FD" w:rsidP="00192C6E">
      <w:pPr>
        <w:ind w:left="720" w:hanging="720"/>
        <w:jc w:val="left"/>
      </w:pPr>
      <w:r>
        <w:t xml:space="preserve">2.1 </w:t>
      </w:r>
      <w:r w:rsidR="00C5005A">
        <w:tab/>
      </w:r>
      <w:r w:rsidR="00846A98">
        <w:t xml:space="preserve">The Development Plan for </w:t>
      </w:r>
      <w:r w:rsidR="004F6D8C">
        <w:t xml:space="preserve">this part of </w:t>
      </w:r>
      <w:r w:rsidR="00887D0A">
        <w:t>WCC</w:t>
      </w:r>
      <w:r w:rsidR="005B50E6">
        <w:t xml:space="preserve">, not including documents relating to excluded minerals and waste development, </w:t>
      </w:r>
      <w:r w:rsidR="00846A98">
        <w:t xml:space="preserve">is the </w:t>
      </w:r>
      <w:r w:rsidR="00F077D7">
        <w:t>Westminster City</w:t>
      </w:r>
      <w:r w:rsidR="00B2297D">
        <w:t xml:space="preserve"> Plan</w:t>
      </w:r>
      <w:r w:rsidR="00310098">
        <w:t xml:space="preserve"> </w:t>
      </w:r>
      <w:r w:rsidR="00B2297D">
        <w:t xml:space="preserve">and </w:t>
      </w:r>
      <w:r w:rsidR="00F077D7">
        <w:t>the London Plan</w:t>
      </w:r>
      <w:r w:rsidR="00846A98">
        <w:t>.</w:t>
      </w:r>
      <w:r w:rsidR="00310098">
        <w:t xml:space="preserve">  </w:t>
      </w:r>
      <w:r w:rsidR="00EF2349">
        <w:t>When the QPNP was submitted for examination</w:t>
      </w:r>
      <w:r w:rsidR="00DF33DB">
        <w:t>, the Westminster City Plan</w:t>
      </w:r>
      <w:r w:rsidR="00125647">
        <w:t>,</w:t>
      </w:r>
      <w:r w:rsidR="00DF33DB">
        <w:t xml:space="preserve"> 2016</w:t>
      </w:r>
      <w:r w:rsidR="00125647">
        <w:t>,</w:t>
      </w:r>
      <w:r w:rsidR="00DF33DB">
        <w:t xml:space="preserve"> w</w:t>
      </w:r>
      <w:r w:rsidR="00AF3F27">
        <w:t>ith saved policies from Westminster Unitary Development Plan</w:t>
      </w:r>
      <w:r w:rsidR="00125647">
        <w:t>,</w:t>
      </w:r>
      <w:r w:rsidR="00AF3F27">
        <w:t xml:space="preserve"> 2007</w:t>
      </w:r>
      <w:r w:rsidR="00125647">
        <w:t>,</w:t>
      </w:r>
      <w:r w:rsidR="00AF3F27">
        <w:t xml:space="preserve"> formed</w:t>
      </w:r>
      <w:r w:rsidR="00DF33DB">
        <w:t xml:space="preserve"> the adopted Local Plan.  However, a</w:t>
      </w:r>
      <w:r w:rsidR="00310098">
        <w:t xml:space="preserve"> new Westminster City Plan was the subject of </w:t>
      </w:r>
      <w:r w:rsidR="00276D85">
        <w:t xml:space="preserve">an </w:t>
      </w:r>
      <w:r w:rsidR="00310098">
        <w:t>examination beginning in November 2019, and the Inspectors’ report of 19 March 2021 concluded that, with recommended main modifications in place, the City Plan would be sound and compliant with the legal requirements</w:t>
      </w:r>
      <w:r w:rsidR="00310098" w:rsidRPr="00276D85">
        <w:t xml:space="preserve">.  Formal adoption </w:t>
      </w:r>
      <w:r w:rsidR="00DF33DB" w:rsidRPr="00276D85">
        <w:t xml:space="preserve">of the new City Plan, 2019-40, </w:t>
      </w:r>
      <w:r w:rsidR="00276D85">
        <w:t>took</w:t>
      </w:r>
      <w:r w:rsidR="00310098" w:rsidRPr="00276D85">
        <w:t xml:space="preserve"> place </w:t>
      </w:r>
      <w:r w:rsidR="00276D85">
        <w:t>on 21 April 2021</w:t>
      </w:r>
      <w:r w:rsidR="001D0ABF">
        <w:t>.</w:t>
      </w:r>
      <w:r w:rsidR="00DF33DB">
        <w:t xml:space="preserve"> </w:t>
      </w:r>
      <w:r w:rsidR="001D0ABF">
        <w:t xml:space="preserve"> </w:t>
      </w:r>
      <w:r w:rsidR="00276D85">
        <w:t xml:space="preserve">I have therefore assessed whether the QPNP is in general conformity with the </w:t>
      </w:r>
      <w:r w:rsidR="00354872">
        <w:t xml:space="preserve">strategic policies of the </w:t>
      </w:r>
      <w:r w:rsidR="00035100">
        <w:t xml:space="preserve">Westminster </w:t>
      </w:r>
      <w:r w:rsidR="003923C0">
        <w:t>City Plan</w:t>
      </w:r>
      <w:r w:rsidR="00276D85">
        <w:t>,</w:t>
      </w:r>
      <w:r w:rsidR="003923C0">
        <w:t xml:space="preserve"> 2019-40. </w:t>
      </w:r>
    </w:p>
    <w:p w14:paraId="706220E9" w14:textId="77777777" w:rsidR="001D0ABF" w:rsidRDefault="001D0ABF" w:rsidP="00192C6E">
      <w:pPr>
        <w:jc w:val="left"/>
      </w:pPr>
    </w:p>
    <w:p w14:paraId="7F956EE5" w14:textId="3D662D12" w:rsidR="00846A98" w:rsidRDefault="001D0ABF" w:rsidP="00192C6E">
      <w:pPr>
        <w:ind w:left="720" w:hanging="720"/>
        <w:jc w:val="left"/>
      </w:pPr>
      <w:r>
        <w:t xml:space="preserve">2.2 </w:t>
      </w:r>
      <w:r w:rsidR="00C5005A">
        <w:tab/>
      </w:r>
      <w:r>
        <w:t>The London Plan has also been recently revised.  Following examination, the Mayor sent the Publication London Plan to the Secretary of State in December 2020.  The Secretary of State confirmed, on 29 January 2021, that he was content for the Mayor’s new London Plan to be formally published with no further changes</w:t>
      </w:r>
      <w:r w:rsidR="00354872">
        <w:t xml:space="preserve"> and this took place on 2 March 2021.</w:t>
      </w:r>
      <w:r>
        <w:t xml:space="preserve">  In examining the QPNP, I have assessed whether it is in general conformity with the strategic policies of the new London Plan. </w:t>
      </w:r>
      <w:r w:rsidR="00DF33DB">
        <w:t xml:space="preserve"> </w:t>
      </w:r>
      <w:r w:rsidR="00846A98">
        <w:t xml:space="preserve"> </w:t>
      </w:r>
    </w:p>
    <w:p w14:paraId="22CC48E5" w14:textId="77777777" w:rsidR="0083641B" w:rsidRPr="0088415F" w:rsidRDefault="0083641B" w:rsidP="00192C6E">
      <w:pPr>
        <w:jc w:val="left"/>
      </w:pPr>
    </w:p>
    <w:p w14:paraId="12153CDB" w14:textId="63B176B7" w:rsidR="002355C6" w:rsidRPr="001D0ABF" w:rsidRDefault="009641FD" w:rsidP="00192C6E">
      <w:pPr>
        <w:ind w:left="720" w:hanging="720"/>
        <w:jc w:val="left"/>
      </w:pPr>
      <w:r>
        <w:t>2.</w:t>
      </w:r>
      <w:r w:rsidR="001D0ABF">
        <w:t>3</w:t>
      </w:r>
      <w:r>
        <w:t xml:space="preserve"> </w:t>
      </w:r>
      <w:r w:rsidR="00C5005A">
        <w:tab/>
      </w:r>
      <w:r w:rsidR="00846A98">
        <w:t>The planning policy for England is set out principally in the National Planning Policy Framework</w:t>
      </w:r>
      <w:r w:rsidR="004F6D8C">
        <w:t xml:space="preserve"> (NPPF)</w:t>
      </w:r>
      <w:r w:rsidR="00846A98">
        <w:t xml:space="preserve">. </w:t>
      </w:r>
      <w:r w:rsidR="001D0ABF">
        <w:t xml:space="preserve"> </w:t>
      </w:r>
      <w:r w:rsidR="00846A98">
        <w:t xml:space="preserve">The </w:t>
      </w:r>
      <w:r w:rsidR="004F6D8C">
        <w:t xml:space="preserve">PPG </w:t>
      </w:r>
      <w:r w:rsidR="00846A98">
        <w:t xml:space="preserve">offers guidance on </w:t>
      </w:r>
      <w:r w:rsidR="004F6D8C">
        <w:t>how</w:t>
      </w:r>
      <w:r w:rsidR="00846A98">
        <w:t xml:space="preserve"> this policy should be implemented. </w:t>
      </w:r>
      <w:r w:rsidR="001D0ABF">
        <w:t xml:space="preserve"> </w:t>
      </w:r>
      <w:r w:rsidR="00151F95" w:rsidRPr="001D0ABF">
        <w:t>A revise</w:t>
      </w:r>
      <w:r w:rsidR="00582B63" w:rsidRPr="001D0ABF">
        <w:t>d</w:t>
      </w:r>
      <w:r w:rsidR="00151F95" w:rsidRPr="001D0ABF">
        <w:t xml:space="preserve"> NPPF was published on 19 February 2019</w:t>
      </w:r>
      <w:r w:rsidR="00503EC9" w:rsidRPr="001D0ABF">
        <w:t>,</w:t>
      </w:r>
      <w:r w:rsidR="00151F95" w:rsidRPr="001D0ABF">
        <w:t xml:space="preserve"> a</w:t>
      </w:r>
      <w:r w:rsidR="00582B63" w:rsidRPr="001D0ABF">
        <w:t>n</w:t>
      </w:r>
      <w:r w:rsidR="00151F95" w:rsidRPr="001D0ABF">
        <w:t>d</w:t>
      </w:r>
      <w:r w:rsidR="00503EC9" w:rsidRPr="001D0ABF">
        <w:t xml:space="preserve"> a</w:t>
      </w:r>
      <w:r w:rsidR="002355C6" w:rsidRPr="001D0ABF">
        <w:t>ll references in this report are to the February 2019 NPPF and its accompanying PPG</w:t>
      </w:r>
      <w:r w:rsidR="00C5005A">
        <w:rPr>
          <w:rStyle w:val="FootnoteReference"/>
        </w:rPr>
        <w:t xml:space="preserve"> </w:t>
      </w:r>
      <w:r w:rsidR="002355C6" w:rsidRPr="001D0ABF">
        <w:t>.</w:t>
      </w:r>
    </w:p>
    <w:p w14:paraId="53CC51DC" w14:textId="77777777" w:rsidR="009641FD" w:rsidRDefault="009641FD" w:rsidP="00192C6E">
      <w:pPr>
        <w:ind w:left="0" w:firstLine="0"/>
      </w:pPr>
    </w:p>
    <w:p w14:paraId="606D3684" w14:textId="77777777" w:rsidR="009641FD" w:rsidRPr="000813EF" w:rsidRDefault="009641FD" w:rsidP="00192C6E">
      <w:pPr>
        <w:rPr>
          <w:i/>
        </w:rPr>
      </w:pPr>
      <w:r w:rsidRPr="000813EF">
        <w:rPr>
          <w:i/>
        </w:rPr>
        <w:t>Submitted Documents</w:t>
      </w:r>
    </w:p>
    <w:p w14:paraId="58D15EBD" w14:textId="77777777" w:rsidR="009641FD" w:rsidRDefault="009641FD" w:rsidP="00192C6E"/>
    <w:p w14:paraId="732C4B01" w14:textId="2A6F7F22" w:rsidR="00333B68" w:rsidRPr="0064086C" w:rsidRDefault="008F155F" w:rsidP="00192C6E">
      <w:pPr>
        <w:ind w:left="720" w:hanging="720"/>
        <w:jc w:val="left"/>
      </w:pPr>
      <w:r>
        <w:t xml:space="preserve">2.4 </w:t>
      </w:r>
      <w:r w:rsidR="00C5005A">
        <w:tab/>
      </w:r>
      <w:r w:rsidR="00333B68" w:rsidRPr="0064086C">
        <w:t xml:space="preserve">I have considered </w:t>
      </w:r>
      <w:r w:rsidR="0064086C" w:rsidRPr="0064086C">
        <w:t xml:space="preserve">all </w:t>
      </w:r>
      <w:r w:rsidR="009641FD">
        <w:t xml:space="preserve">policy, </w:t>
      </w:r>
      <w:proofErr w:type="gramStart"/>
      <w:r w:rsidR="009641FD">
        <w:t>guidance</w:t>
      </w:r>
      <w:proofErr w:type="gramEnd"/>
      <w:r w:rsidR="009641FD">
        <w:t xml:space="preserve"> and other </w:t>
      </w:r>
      <w:r w:rsidR="000813EF">
        <w:t xml:space="preserve">reference </w:t>
      </w:r>
      <w:r w:rsidR="0064086C" w:rsidRPr="0064086C">
        <w:t>documents I consider relevant to the examination</w:t>
      </w:r>
      <w:r w:rsidR="009641FD">
        <w:t>, including</w:t>
      </w:r>
      <w:r w:rsidR="0064086C" w:rsidRPr="0064086C">
        <w:t xml:space="preserve">: </w:t>
      </w:r>
    </w:p>
    <w:p w14:paraId="0546571C" w14:textId="74283D72" w:rsidR="0064086C" w:rsidRPr="0064086C" w:rsidRDefault="00F5450A" w:rsidP="00192C6E">
      <w:pPr>
        <w:pStyle w:val="ListParagraph"/>
        <w:numPr>
          <w:ilvl w:val="0"/>
          <w:numId w:val="10"/>
        </w:numPr>
        <w:jc w:val="left"/>
      </w:pPr>
      <w:r>
        <w:t>the</w:t>
      </w:r>
      <w:r w:rsidR="0064086C" w:rsidRPr="0064086C">
        <w:t xml:space="preserve"> draft </w:t>
      </w:r>
      <w:r w:rsidR="001D0ABF">
        <w:t>Queen’s Park</w:t>
      </w:r>
      <w:r>
        <w:t xml:space="preserve"> N</w:t>
      </w:r>
      <w:r w:rsidR="0064086C" w:rsidRPr="0064086C">
        <w:t xml:space="preserve">eighbourhood </w:t>
      </w:r>
      <w:r>
        <w:t>P</w:t>
      </w:r>
      <w:r w:rsidR="0064086C" w:rsidRPr="0064086C">
        <w:t>lan</w:t>
      </w:r>
      <w:r>
        <w:t xml:space="preserve"> </w:t>
      </w:r>
      <w:r w:rsidR="001D0ABF">
        <w:t>2020</w:t>
      </w:r>
      <w:r>
        <w:t>-20</w:t>
      </w:r>
      <w:r w:rsidR="001D0ABF">
        <w:t>40</w:t>
      </w:r>
      <w:r>
        <w:t>,</w:t>
      </w:r>
      <w:r w:rsidR="001D0ABF">
        <w:t xml:space="preserve"> April </w:t>
      </w:r>
      <w:proofErr w:type="gramStart"/>
      <w:r w:rsidR="001D0ABF">
        <w:t>2020</w:t>
      </w:r>
      <w:r w:rsidR="0064086C" w:rsidRPr="0064086C">
        <w:t>;</w:t>
      </w:r>
      <w:proofErr w:type="gramEnd"/>
    </w:p>
    <w:p w14:paraId="76887674" w14:textId="29D83EFE" w:rsidR="00333B68" w:rsidRPr="0064086C" w:rsidRDefault="00F5450A" w:rsidP="00192C6E">
      <w:pPr>
        <w:pStyle w:val="ListParagraph"/>
        <w:numPr>
          <w:ilvl w:val="0"/>
          <w:numId w:val="10"/>
        </w:numPr>
        <w:jc w:val="left"/>
      </w:pPr>
      <w:r>
        <w:t>M</w:t>
      </w:r>
      <w:r w:rsidR="0064086C" w:rsidRPr="0064086C">
        <w:t xml:space="preserve">ap </w:t>
      </w:r>
      <w:r w:rsidR="00E718D8">
        <w:t xml:space="preserve">of the </w:t>
      </w:r>
      <w:r w:rsidR="00FB0D86">
        <w:t xml:space="preserve">Neighbourhood </w:t>
      </w:r>
      <w:r w:rsidR="00E718D8">
        <w:t>P</w:t>
      </w:r>
      <w:r>
        <w:t>lan</w:t>
      </w:r>
      <w:r w:rsidR="00333B68" w:rsidRPr="0064086C">
        <w:t xml:space="preserve"> </w:t>
      </w:r>
      <w:r w:rsidR="00FB0D86">
        <w:t xml:space="preserve">area, </w:t>
      </w:r>
      <w:r w:rsidR="00DB48B0">
        <w:t xml:space="preserve">QPNP </w:t>
      </w:r>
      <w:r w:rsidR="00FB0D86">
        <w:t xml:space="preserve">Annex 1: Evidence Base, Page 42, </w:t>
      </w:r>
      <w:r w:rsidR="00333B68" w:rsidRPr="0064086C">
        <w:t xml:space="preserve">which identifies the area to which the proposed </w:t>
      </w:r>
      <w:r w:rsidR="00B16DD0">
        <w:t>N</w:t>
      </w:r>
      <w:r w:rsidR="00333B68" w:rsidRPr="0064086C">
        <w:t xml:space="preserve">eighbourhood </w:t>
      </w:r>
      <w:r w:rsidR="00B16DD0">
        <w:t>P</w:t>
      </w:r>
      <w:r w:rsidR="00333B68" w:rsidRPr="0064086C">
        <w:t xml:space="preserve">lan </w:t>
      </w:r>
      <w:proofErr w:type="gramStart"/>
      <w:r w:rsidR="00333B68" w:rsidRPr="0064086C">
        <w:t>relates;</w:t>
      </w:r>
      <w:proofErr w:type="gramEnd"/>
    </w:p>
    <w:p w14:paraId="6C354390" w14:textId="5211069C" w:rsidR="00333B68" w:rsidRPr="0064086C" w:rsidRDefault="0064086C" w:rsidP="00192C6E">
      <w:pPr>
        <w:pStyle w:val="ListParagraph"/>
        <w:numPr>
          <w:ilvl w:val="0"/>
          <w:numId w:val="10"/>
        </w:numPr>
        <w:jc w:val="left"/>
      </w:pPr>
      <w:r w:rsidRPr="0064086C">
        <w:t xml:space="preserve">the </w:t>
      </w:r>
      <w:r w:rsidR="00F5450A">
        <w:t>C</w:t>
      </w:r>
      <w:r w:rsidR="00333B68" w:rsidRPr="0064086C">
        <w:t xml:space="preserve">onsultation </w:t>
      </w:r>
      <w:r w:rsidR="00F5450A">
        <w:t>S</w:t>
      </w:r>
      <w:r w:rsidR="00333B68" w:rsidRPr="0064086C">
        <w:t>tatement</w:t>
      </w:r>
      <w:r w:rsidR="00F5450A">
        <w:t>,</w:t>
      </w:r>
      <w:r w:rsidR="007C15A1">
        <w:t xml:space="preserve"> </w:t>
      </w:r>
      <w:r w:rsidR="00FB0D86">
        <w:t>2014</w:t>
      </w:r>
      <w:r w:rsidR="009533EA">
        <w:t xml:space="preserve"> </w:t>
      </w:r>
      <w:r w:rsidR="007C15A1">
        <w:t>–</w:t>
      </w:r>
      <w:r w:rsidR="009533EA">
        <w:t xml:space="preserve"> </w:t>
      </w:r>
      <w:r w:rsidR="00FB0D86">
        <w:t>2020</w:t>
      </w:r>
      <w:r w:rsidR="00354872">
        <w:t xml:space="preserve">, </w:t>
      </w:r>
      <w:proofErr w:type="gramStart"/>
      <w:r w:rsidR="007C15A1">
        <w:t>undated</w:t>
      </w:r>
      <w:r w:rsidR="00333B68" w:rsidRPr="0064086C">
        <w:t>;</w:t>
      </w:r>
      <w:proofErr w:type="gramEnd"/>
    </w:p>
    <w:p w14:paraId="526DDC3B" w14:textId="1BBA8171" w:rsidR="009F685C" w:rsidRPr="0064086C" w:rsidRDefault="0064086C" w:rsidP="00192C6E">
      <w:pPr>
        <w:pStyle w:val="ListParagraph"/>
        <w:numPr>
          <w:ilvl w:val="0"/>
          <w:numId w:val="10"/>
        </w:numPr>
        <w:jc w:val="left"/>
      </w:pPr>
      <w:r w:rsidRPr="0064086C">
        <w:t xml:space="preserve">the </w:t>
      </w:r>
      <w:r w:rsidR="001945F9" w:rsidRPr="0064086C">
        <w:t>Basic Cond</w:t>
      </w:r>
      <w:r w:rsidR="001945F9">
        <w:t>i</w:t>
      </w:r>
      <w:r w:rsidR="001945F9" w:rsidRPr="0064086C">
        <w:t>tion</w:t>
      </w:r>
      <w:r w:rsidR="001945F9">
        <w:t>s</w:t>
      </w:r>
      <w:r w:rsidR="00FB0D86">
        <w:t xml:space="preserve"> </w:t>
      </w:r>
      <w:r w:rsidR="001945F9">
        <w:t>S</w:t>
      </w:r>
      <w:r w:rsidR="00333B68" w:rsidRPr="0064086C">
        <w:t>tatement</w:t>
      </w:r>
      <w:r w:rsidR="000B1411">
        <w:t>,</w:t>
      </w:r>
      <w:r w:rsidR="00354872">
        <w:t xml:space="preserve"> </w:t>
      </w:r>
      <w:proofErr w:type="gramStart"/>
      <w:r w:rsidR="009533EA" w:rsidRPr="007C15A1">
        <w:t>undated</w:t>
      </w:r>
      <w:r w:rsidRPr="0064086C">
        <w:t>;</w:t>
      </w:r>
      <w:proofErr w:type="gramEnd"/>
      <w:r w:rsidRPr="0064086C">
        <w:t xml:space="preserve"> </w:t>
      </w:r>
    </w:p>
    <w:p w14:paraId="5BA69315" w14:textId="77777777" w:rsidR="00D21417" w:rsidRDefault="0064086C" w:rsidP="00192C6E">
      <w:pPr>
        <w:pStyle w:val="ListParagraph"/>
        <w:numPr>
          <w:ilvl w:val="0"/>
          <w:numId w:val="10"/>
        </w:numPr>
        <w:jc w:val="left"/>
      </w:pPr>
      <w:r w:rsidRPr="0064086C">
        <w:t xml:space="preserve">all the representations that have been made in accordance with the Regulation 16 </w:t>
      </w:r>
      <w:proofErr w:type="gramStart"/>
      <w:r w:rsidRPr="0064086C">
        <w:t>consultation</w:t>
      </w:r>
      <w:r w:rsidR="001945F9">
        <w:t>;</w:t>
      </w:r>
      <w:proofErr w:type="gramEnd"/>
      <w:r w:rsidR="001945F9">
        <w:t xml:space="preserve"> </w:t>
      </w:r>
    </w:p>
    <w:p w14:paraId="206569B1" w14:textId="77777777" w:rsidR="00D21417" w:rsidRDefault="0064086C" w:rsidP="00192C6E">
      <w:pPr>
        <w:pStyle w:val="ListParagraph"/>
        <w:numPr>
          <w:ilvl w:val="0"/>
          <w:numId w:val="10"/>
        </w:numPr>
        <w:jc w:val="left"/>
      </w:pPr>
      <w:r w:rsidRPr="008F155F">
        <w:t xml:space="preserve">the </w:t>
      </w:r>
      <w:r w:rsidR="001945F9" w:rsidRPr="008F155F">
        <w:t>Strategic Environmental Assessment (</w:t>
      </w:r>
      <w:r w:rsidRPr="008F155F">
        <w:t>SEA</w:t>
      </w:r>
      <w:r w:rsidR="001945F9" w:rsidRPr="008F155F">
        <w:t>)</w:t>
      </w:r>
      <w:r w:rsidR="0083572D" w:rsidRPr="008F155F">
        <w:t xml:space="preserve"> </w:t>
      </w:r>
      <w:r w:rsidRPr="008F155F">
        <w:t xml:space="preserve">Screening </w:t>
      </w:r>
      <w:r w:rsidR="008F155F">
        <w:t>Report and Habitats Regulations Assessme</w:t>
      </w:r>
      <w:r w:rsidR="00641BDA">
        <w:t xml:space="preserve">nt Screening Report, March </w:t>
      </w:r>
      <w:proofErr w:type="gramStart"/>
      <w:r w:rsidR="00641BDA">
        <w:t>2018</w:t>
      </w:r>
      <w:r w:rsidR="00D21417">
        <w:t>;</w:t>
      </w:r>
      <w:proofErr w:type="gramEnd"/>
    </w:p>
    <w:p w14:paraId="6D9475B4" w14:textId="1345B472" w:rsidR="00D21417" w:rsidRDefault="00D21417" w:rsidP="00192C6E">
      <w:pPr>
        <w:pStyle w:val="ListParagraph"/>
        <w:numPr>
          <w:ilvl w:val="0"/>
          <w:numId w:val="10"/>
        </w:numPr>
        <w:jc w:val="left"/>
      </w:pPr>
      <w:r>
        <w:t>On the Street, Your</w:t>
      </w:r>
      <w:r w:rsidR="00452FF2">
        <w:rPr>
          <w:rStyle w:val="FootnoteReference"/>
        </w:rPr>
        <w:t xml:space="preserve"> </w:t>
      </w:r>
      <w:r>
        <w:t xml:space="preserve"> views and ideas about the future of Queen’s Park, QPCC, </w:t>
      </w:r>
      <w:r w:rsidR="00354872">
        <w:t xml:space="preserve">July </w:t>
      </w:r>
      <w:proofErr w:type="gramStart"/>
      <w:r>
        <w:t>2015;</w:t>
      </w:r>
      <w:proofErr w:type="gramEnd"/>
    </w:p>
    <w:p w14:paraId="73746263" w14:textId="6B4E4BE3" w:rsidR="00D21417" w:rsidRDefault="00D21417" w:rsidP="00192C6E">
      <w:pPr>
        <w:pStyle w:val="ListParagraph"/>
        <w:numPr>
          <w:ilvl w:val="0"/>
          <w:numId w:val="10"/>
        </w:numPr>
        <w:jc w:val="left"/>
      </w:pPr>
      <w:r>
        <w:t>Neighbourhood Plan Background Document, Revision A</w:t>
      </w:r>
      <w:r w:rsidR="00641BDA">
        <w:t>,</w:t>
      </w:r>
      <w:r>
        <w:t xml:space="preserve"> Jan</w:t>
      </w:r>
      <w:r w:rsidR="00452FF2">
        <w:t>uary</w:t>
      </w:r>
      <w:r>
        <w:t xml:space="preserve"> </w:t>
      </w:r>
      <w:proofErr w:type="gramStart"/>
      <w:r>
        <w:t>2016;</w:t>
      </w:r>
      <w:proofErr w:type="gramEnd"/>
    </w:p>
    <w:p w14:paraId="475B6B9C" w14:textId="77777777" w:rsidR="00797F4E" w:rsidRPr="00820946" w:rsidRDefault="00D21417" w:rsidP="00192C6E">
      <w:pPr>
        <w:pStyle w:val="ListParagraph"/>
        <w:numPr>
          <w:ilvl w:val="0"/>
          <w:numId w:val="10"/>
        </w:numPr>
        <w:jc w:val="left"/>
      </w:pPr>
      <w:r w:rsidRPr="00820946">
        <w:t>Canal Terrace Conservation Area Design Guide April 2020</w:t>
      </w:r>
      <w:r w:rsidR="00797F4E" w:rsidRPr="00820946">
        <w:t>; and</w:t>
      </w:r>
    </w:p>
    <w:p w14:paraId="389B3E2D" w14:textId="31B9281F" w:rsidR="000B2A67" w:rsidRPr="00820946" w:rsidRDefault="00797F4E" w:rsidP="00192C6E">
      <w:pPr>
        <w:pStyle w:val="ListParagraph"/>
        <w:numPr>
          <w:ilvl w:val="0"/>
          <w:numId w:val="10"/>
        </w:numPr>
        <w:jc w:val="left"/>
      </w:pPr>
      <w:r w:rsidRPr="00820946">
        <w:t>Responses from QPCC and WCC</w:t>
      </w:r>
      <w:r w:rsidR="00641BDA" w:rsidRPr="00820946">
        <w:t xml:space="preserve"> received</w:t>
      </w:r>
      <w:r w:rsidRPr="00820946">
        <w:t xml:space="preserve"> on 5 March 2021 </w:t>
      </w:r>
      <w:r w:rsidR="00663143" w:rsidRPr="00820946">
        <w:t>and 1</w:t>
      </w:r>
      <w:r w:rsidR="007C15A1" w:rsidRPr="00820946">
        <w:t>3</w:t>
      </w:r>
      <w:r w:rsidR="00663143" w:rsidRPr="00820946">
        <w:t xml:space="preserve"> April 2021 </w:t>
      </w:r>
      <w:r w:rsidRPr="00820946">
        <w:t>to my letter of 22 February 2021 (Ref: 01/JK/QPNP)</w:t>
      </w:r>
      <w:r w:rsidR="00C81AE9" w:rsidRPr="00820946">
        <w:t xml:space="preserve"> and </w:t>
      </w:r>
      <w:r w:rsidR="00820946" w:rsidRPr="00820946">
        <w:t xml:space="preserve">QPCC’s response of 20 April 2021 to my </w:t>
      </w:r>
      <w:r w:rsidR="00820946">
        <w:t xml:space="preserve">further </w:t>
      </w:r>
      <w:r w:rsidR="00820946" w:rsidRPr="00820946">
        <w:t>letter of 19 April 2021.</w:t>
      </w:r>
      <w:r w:rsidR="0076794E" w:rsidRPr="00820946">
        <w:t xml:space="preserve"> </w:t>
      </w:r>
    </w:p>
    <w:p w14:paraId="267256E5" w14:textId="77777777" w:rsidR="000B2A67" w:rsidRDefault="000B2A67" w:rsidP="000B2A67">
      <w:pPr>
        <w:pStyle w:val="ListParagraph"/>
        <w:ind w:left="1515" w:firstLine="0"/>
        <w:jc w:val="left"/>
      </w:pPr>
    </w:p>
    <w:p w14:paraId="193C0EF3" w14:textId="0B7C4345" w:rsidR="0064086C" w:rsidRPr="008F155F" w:rsidRDefault="0076794E" w:rsidP="00820946">
      <w:pPr>
        <w:ind w:left="720" w:firstLine="0"/>
        <w:jc w:val="left"/>
      </w:pPr>
      <w:r>
        <w:t>The response of 1</w:t>
      </w:r>
      <w:r w:rsidR="007C15A1">
        <w:t>3</w:t>
      </w:r>
      <w:r>
        <w:t xml:space="preserve"> April 2021 include</w:t>
      </w:r>
      <w:r w:rsidR="00615A52">
        <w:t>d</w:t>
      </w:r>
      <w:r>
        <w:t xml:space="preserve"> </w:t>
      </w:r>
      <w:r w:rsidR="00615A52">
        <w:t xml:space="preserve">Table 2 - </w:t>
      </w:r>
      <w:r>
        <w:t>a Statement of Common Ground (SOCG) between QPCC and WCC</w:t>
      </w:r>
      <w:r w:rsidR="00615A52">
        <w:t>,</w:t>
      </w:r>
      <w:r>
        <w:t xml:space="preserve"> </w:t>
      </w:r>
      <w:r w:rsidR="00615A52">
        <w:t>with</w:t>
      </w:r>
      <w:r>
        <w:t xml:space="preserve"> </w:t>
      </w:r>
      <w:proofErr w:type="gramStart"/>
      <w:r>
        <w:t>a number of</w:t>
      </w:r>
      <w:proofErr w:type="gramEnd"/>
      <w:r>
        <w:t xml:space="preserve"> agreed </w:t>
      </w:r>
      <w:r w:rsidR="00641BDA">
        <w:t>modifications</w:t>
      </w:r>
      <w:r w:rsidR="00615A52">
        <w:t xml:space="preserve"> to be made to the submitted Plan.  I have taken account of the SOCG, as well as Table 1 – Areas </w:t>
      </w:r>
      <w:r w:rsidR="00641BDA">
        <w:t>of Disagreement, in undertaking</w:t>
      </w:r>
      <w:r w:rsidR="00615A52">
        <w:t xml:space="preserve"> my examination.</w:t>
      </w:r>
      <w:r w:rsidR="00452FF2">
        <w:rPr>
          <w:rStyle w:val="FootnoteReference"/>
        </w:rPr>
        <w:footnoteReference w:id="5"/>
      </w:r>
      <w:r w:rsidR="00615A52">
        <w:t xml:space="preserve"> </w:t>
      </w:r>
    </w:p>
    <w:p w14:paraId="30163A7F" w14:textId="77777777" w:rsidR="00AD5038" w:rsidRDefault="00AD5038" w:rsidP="00192C6E">
      <w:pPr>
        <w:jc w:val="left"/>
        <w:rPr>
          <w:i/>
        </w:rPr>
      </w:pPr>
    </w:p>
    <w:p w14:paraId="5FCEF925" w14:textId="77777777" w:rsidR="00BF3DE2" w:rsidRDefault="00541343" w:rsidP="00192C6E">
      <w:pPr>
        <w:jc w:val="left"/>
        <w:rPr>
          <w:i/>
        </w:rPr>
      </w:pPr>
      <w:r>
        <w:rPr>
          <w:i/>
        </w:rPr>
        <w:t>Site Visit</w:t>
      </w:r>
    </w:p>
    <w:p w14:paraId="2238E692" w14:textId="77777777" w:rsidR="00917828" w:rsidRDefault="00917828" w:rsidP="00192C6E">
      <w:pPr>
        <w:jc w:val="left"/>
        <w:rPr>
          <w:i/>
        </w:rPr>
      </w:pPr>
    </w:p>
    <w:p w14:paraId="7BF2389E" w14:textId="0B642987" w:rsidR="00BF3DE2" w:rsidRDefault="009641FD" w:rsidP="00192C6E">
      <w:pPr>
        <w:ind w:left="720" w:hanging="720"/>
        <w:jc w:val="left"/>
      </w:pPr>
      <w:r>
        <w:t>2.</w:t>
      </w:r>
      <w:r w:rsidR="00C5005A">
        <w:t>5</w:t>
      </w:r>
      <w:r w:rsidR="00BF3DE2">
        <w:t xml:space="preserve"> </w:t>
      </w:r>
      <w:r w:rsidR="00C5005A">
        <w:tab/>
      </w:r>
      <w:r w:rsidR="00BF3DE2">
        <w:t xml:space="preserve">I made an unaccompanied site visit to the Neighbourhood Plan Area on </w:t>
      </w:r>
      <w:r w:rsidR="009533EA">
        <w:t>6 May 2021</w:t>
      </w:r>
      <w:r w:rsidR="00B2297D">
        <w:t xml:space="preserve"> </w:t>
      </w:r>
      <w:r w:rsidR="00BF3DE2">
        <w:t>to familiarise myself with it</w:t>
      </w:r>
      <w:r w:rsidR="001945F9">
        <w:t>,</w:t>
      </w:r>
      <w:r w:rsidR="00BF3DE2">
        <w:t xml:space="preserve"> and </w:t>
      </w:r>
      <w:r w:rsidR="009533EA">
        <w:t xml:space="preserve">to </w:t>
      </w:r>
      <w:r w:rsidR="00BF3DE2">
        <w:t>visit relevant sites an</w:t>
      </w:r>
      <w:r w:rsidR="001945F9">
        <w:t xml:space="preserve">d areas referenced in the </w:t>
      </w:r>
      <w:r w:rsidR="00E718D8">
        <w:t>P</w:t>
      </w:r>
      <w:r w:rsidR="001945F9">
        <w:t>lan and evidential documents.</w:t>
      </w:r>
    </w:p>
    <w:p w14:paraId="1672ED7A" w14:textId="77777777" w:rsidR="00917828" w:rsidRDefault="00917828" w:rsidP="00192C6E">
      <w:pPr>
        <w:jc w:val="left"/>
        <w:rPr>
          <w:i/>
        </w:rPr>
      </w:pPr>
    </w:p>
    <w:p w14:paraId="520D2056" w14:textId="77777777" w:rsidR="00BF3DE2" w:rsidRDefault="00BF3DE2" w:rsidP="00192C6E">
      <w:pPr>
        <w:jc w:val="left"/>
        <w:rPr>
          <w:i/>
        </w:rPr>
      </w:pPr>
      <w:r w:rsidRPr="00955554">
        <w:rPr>
          <w:i/>
        </w:rPr>
        <w:t xml:space="preserve">Written Representations </w:t>
      </w:r>
      <w:r w:rsidR="0087061E">
        <w:rPr>
          <w:i/>
        </w:rPr>
        <w:t xml:space="preserve">with or without </w:t>
      </w:r>
      <w:r w:rsidRPr="00955554">
        <w:rPr>
          <w:i/>
        </w:rPr>
        <w:t>Public Hearing</w:t>
      </w:r>
    </w:p>
    <w:p w14:paraId="5C9E53DD" w14:textId="77777777" w:rsidR="00917828" w:rsidRPr="00955554" w:rsidRDefault="00917828" w:rsidP="00192C6E">
      <w:pPr>
        <w:jc w:val="left"/>
        <w:rPr>
          <w:i/>
        </w:rPr>
      </w:pPr>
    </w:p>
    <w:p w14:paraId="41043035" w14:textId="6D0D6EFA" w:rsidR="00D4654B" w:rsidRPr="008F155F" w:rsidRDefault="009641FD" w:rsidP="00192C6E">
      <w:pPr>
        <w:jc w:val="left"/>
      </w:pPr>
      <w:r>
        <w:t>2.</w:t>
      </w:r>
      <w:r w:rsidR="00C5005A">
        <w:t>6</w:t>
      </w:r>
      <w:r w:rsidR="00BF3DE2">
        <w:t xml:space="preserve"> </w:t>
      </w:r>
      <w:r w:rsidR="00C5005A">
        <w:tab/>
      </w:r>
      <w:r w:rsidR="00BF3DE2">
        <w:t xml:space="preserve">This examination has been dealt with by </w:t>
      </w:r>
      <w:r w:rsidR="001945F9" w:rsidRPr="008F155F">
        <w:t xml:space="preserve">written representations.  </w:t>
      </w:r>
    </w:p>
    <w:p w14:paraId="58BA42CF" w14:textId="77777777" w:rsidR="0038720C" w:rsidRPr="008F155F" w:rsidRDefault="001945F9" w:rsidP="00192C6E">
      <w:pPr>
        <w:ind w:left="720" w:firstLine="0"/>
        <w:jc w:val="left"/>
      </w:pPr>
      <w:r w:rsidRPr="008F155F">
        <w:t xml:space="preserve">I considered hearing sessions to be unnecessary as </w:t>
      </w:r>
      <w:r w:rsidR="00663143">
        <w:t xml:space="preserve">my reading of the Plan, all submitted evidence and </w:t>
      </w:r>
      <w:r w:rsidRPr="008F155F">
        <w:t xml:space="preserve">the consultation responses </w:t>
      </w:r>
      <w:r w:rsidR="00663143">
        <w:t xml:space="preserve">enabled me to identify </w:t>
      </w:r>
      <w:r w:rsidRPr="008F155F">
        <w:t>the objections</w:t>
      </w:r>
      <w:r w:rsidR="003D4F0B" w:rsidRPr="008F155F">
        <w:t xml:space="preserve"> to the </w:t>
      </w:r>
      <w:r w:rsidR="005C2387" w:rsidRPr="008F155F">
        <w:t>P</w:t>
      </w:r>
      <w:r w:rsidR="003D4F0B" w:rsidRPr="008F155F">
        <w:t>lan,</w:t>
      </w:r>
      <w:r w:rsidRPr="008F155F">
        <w:t xml:space="preserve"> and </w:t>
      </w:r>
      <w:r w:rsidR="00663143">
        <w:t>consider</w:t>
      </w:r>
      <w:r w:rsidR="003239B1">
        <w:t xml:space="preserve"> </w:t>
      </w:r>
      <w:r w:rsidRPr="008F155F">
        <w:t xml:space="preserve">arguments </w:t>
      </w:r>
      <w:r w:rsidR="003D4F0B" w:rsidRPr="008F155F">
        <w:t>for and against</w:t>
      </w:r>
      <w:r w:rsidRPr="008F155F">
        <w:t xml:space="preserve"> the </w:t>
      </w:r>
      <w:r w:rsidR="005C2387" w:rsidRPr="008F155F">
        <w:t>P</w:t>
      </w:r>
      <w:r w:rsidRPr="008F155F">
        <w:t>lan</w:t>
      </w:r>
      <w:r w:rsidR="003D4F0B" w:rsidRPr="008F155F">
        <w:t>’s suitability to proceed to a referendum</w:t>
      </w:r>
      <w:r w:rsidRPr="008F155F">
        <w:t>.</w:t>
      </w:r>
    </w:p>
    <w:p w14:paraId="7CA1EC11" w14:textId="77777777" w:rsidR="0038720C" w:rsidRDefault="0038720C" w:rsidP="00192C6E">
      <w:pPr>
        <w:jc w:val="left"/>
        <w:rPr>
          <w:i/>
        </w:rPr>
      </w:pPr>
    </w:p>
    <w:p w14:paraId="6AEA4574" w14:textId="77777777" w:rsidR="00BF3DE2" w:rsidRDefault="00BF3DE2" w:rsidP="00192C6E">
      <w:pPr>
        <w:jc w:val="left"/>
        <w:rPr>
          <w:i/>
        </w:rPr>
      </w:pPr>
      <w:r w:rsidRPr="002B0246">
        <w:rPr>
          <w:i/>
        </w:rPr>
        <w:t>Modifications</w:t>
      </w:r>
    </w:p>
    <w:p w14:paraId="387767F4" w14:textId="77777777" w:rsidR="0083641B" w:rsidRPr="002B0246" w:rsidRDefault="0083641B" w:rsidP="00192C6E">
      <w:pPr>
        <w:jc w:val="left"/>
        <w:rPr>
          <w:i/>
        </w:rPr>
      </w:pPr>
    </w:p>
    <w:p w14:paraId="3C9A5282" w14:textId="2F8C79C9" w:rsidR="00354872" w:rsidRDefault="009641FD" w:rsidP="00354872">
      <w:pPr>
        <w:pStyle w:val="CommentText"/>
        <w:ind w:left="720" w:hanging="720"/>
        <w:jc w:val="left"/>
        <w:rPr>
          <w:sz w:val="22"/>
          <w:szCs w:val="22"/>
        </w:rPr>
      </w:pPr>
      <w:r w:rsidRPr="00B16DD0">
        <w:rPr>
          <w:sz w:val="22"/>
          <w:szCs w:val="22"/>
        </w:rPr>
        <w:t>2.</w:t>
      </w:r>
      <w:r w:rsidR="00C5005A" w:rsidRPr="00B16DD0">
        <w:rPr>
          <w:sz w:val="22"/>
          <w:szCs w:val="22"/>
        </w:rPr>
        <w:t>7</w:t>
      </w:r>
      <w:r w:rsidR="00BF3DE2">
        <w:t xml:space="preserve"> </w:t>
      </w:r>
      <w:r w:rsidR="00C5005A">
        <w:tab/>
      </w:r>
      <w:proofErr w:type="gramStart"/>
      <w:r w:rsidR="00354872" w:rsidRPr="00354872">
        <w:rPr>
          <w:sz w:val="22"/>
          <w:szCs w:val="22"/>
        </w:rPr>
        <w:t>A number of</w:t>
      </w:r>
      <w:proofErr w:type="gramEnd"/>
      <w:r w:rsidR="00354872" w:rsidRPr="00354872">
        <w:rPr>
          <w:sz w:val="22"/>
          <w:szCs w:val="22"/>
        </w:rPr>
        <w:t xml:space="preserve"> “Proposed Amendments” were put forward in Table 2 of the SOCG which were agreed by QPCC and WCC in April 2021. </w:t>
      </w:r>
      <w:r w:rsidR="00354872">
        <w:rPr>
          <w:sz w:val="22"/>
          <w:szCs w:val="22"/>
        </w:rPr>
        <w:t xml:space="preserve"> </w:t>
      </w:r>
      <w:r w:rsidR="00354872" w:rsidRPr="00354872">
        <w:rPr>
          <w:sz w:val="22"/>
          <w:szCs w:val="22"/>
        </w:rPr>
        <w:t xml:space="preserve">I have taken the draft modifications agreed by QPCC and WCC as shown in Table 2 as a </w:t>
      </w:r>
      <w:proofErr w:type="gramStart"/>
      <w:r w:rsidR="00354872" w:rsidRPr="00354872">
        <w:rPr>
          <w:sz w:val="22"/>
          <w:szCs w:val="22"/>
        </w:rPr>
        <w:t>starting-point</w:t>
      </w:r>
      <w:proofErr w:type="gramEnd"/>
      <w:r w:rsidR="00354872" w:rsidRPr="00354872">
        <w:rPr>
          <w:sz w:val="22"/>
          <w:szCs w:val="22"/>
        </w:rPr>
        <w:t xml:space="preserve"> for recommending modifications to the submitted QPNP. Where necessary, I have proposed additional modifications (</w:t>
      </w:r>
      <w:r w:rsidR="00354872" w:rsidRPr="00354872">
        <w:rPr>
          <w:b/>
          <w:bCs/>
          <w:sz w:val="22"/>
          <w:szCs w:val="22"/>
        </w:rPr>
        <w:t>PMs</w:t>
      </w:r>
      <w:r w:rsidR="00354872" w:rsidRPr="00354872">
        <w:rPr>
          <w:sz w:val="22"/>
          <w:szCs w:val="22"/>
        </w:rPr>
        <w:t>) as shown in Appendix 1 to the changes proposed in the SOCG.  I confirm that the changes proposed to the submitted QPNP as set out in Table 2 of the SOCG should be made so that the Plan meets the Basic Conditions and other legal requirements (</w:t>
      </w:r>
      <w:r w:rsidR="00354872" w:rsidRPr="00354872">
        <w:rPr>
          <w:b/>
          <w:bCs/>
          <w:sz w:val="22"/>
          <w:szCs w:val="22"/>
        </w:rPr>
        <w:t>PM1</w:t>
      </w:r>
      <w:r w:rsidR="00354872" w:rsidRPr="00354872">
        <w:rPr>
          <w:sz w:val="22"/>
          <w:szCs w:val="22"/>
        </w:rPr>
        <w:t>)</w:t>
      </w:r>
      <w:r w:rsidR="00354872">
        <w:rPr>
          <w:sz w:val="22"/>
          <w:szCs w:val="22"/>
        </w:rPr>
        <w:t>, as attached at Appendix 2.</w:t>
      </w:r>
      <w:r w:rsidR="00354872" w:rsidRPr="00354872">
        <w:rPr>
          <w:sz w:val="22"/>
          <w:szCs w:val="22"/>
        </w:rPr>
        <w:t xml:space="preserve">  </w:t>
      </w:r>
    </w:p>
    <w:p w14:paraId="3B28F1D5" w14:textId="77777777" w:rsidR="00697D0A" w:rsidRPr="00354872" w:rsidRDefault="00697D0A" w:rsidP="00354872">
      <w:pPr>
        <w:pStyle w:val="CommentText"/>
        <w:ind w:left="720" w:hanging="720"/>
        <w:jc w:val="left"/>
        <w:rPr>
          <w:sz w:val="22"/>
          <w:szCs w:val="22"/>
        </w:rPr>
      </w:pPr>
    </w:p>
    <w:p w14:paraId="340E51A8" w14:textId="77777777" w:rsidR="00846A98" w:rsidRPr="009C23F2" w:rsidRDefault="00846A98" w:rsidP="00354872">
      <w:pPr>
        <w:jc w:val="left"/>
        <w:rPr>
          <w:b/>
        </w:rPr>
      </w:pPr>
      <w:r w:rsidRPr="009C23F2">
        <w:rPr>
          <w:b/>
        </w:rPr>
        <w:t>3. Procedural Compliance</w:t>
      </w:r>
      <w:r w:rsidR="00204241">
        <w:rPr>
          <w:b/>
        </w:rPr>
        <w:t xml:space="preserve"> and Human Rights</w:t>
      </w:r>
    </w:p>
    <w:p w14:paraId="245F7B11" w14:textId="77777777" w:rsidR="00C9510C" w:rsidRPr="009C23F2" w:rsidRDefault="00C9510C" w:rsidP="00354872">
      <w:pPr>
        <w:ind w:left="0" w:firstLine="0"/>
        <w:jc w:val="left"/>
        <w:rPr>
          <w:i/>
          <w:color w:val="808080" w:themeColor="background1" w:themeShade="80"/>
        </w:rPr>
      </w:pPr>
    </w:p>
    <w:p w14:paraId="7E00F744" w14:textId="77777777" w:rsidR="00A73AD5" w:rsidRDefault="00374830" w:rsidP="00354872">
      <w:pPr>
        <w:jc w:val="left"/>
        <w:rPr>
          <w:i/>
        </w:rPr>
      </w:pPr>
      <w:r w:rsidRPr="008B397B">
        <w:rPr>
          <w:i/>
        </w:rPr>
        <w:t>Qualifying Body and Neighbourhood Plan Area</w:t>
      </w:r>
    </w:p>
    <w:p w14:paraId="061ADF79" w14:textId="77777777" w:rsidR="0083641B" w:rsidRPr="008B397B" w:rsidRDefault="0083641B" w:rsidP="00354872">
      <w:pPr>
        <w:jc w:val="left"/>
        <w:rPr>
          <w:i/>
        </w:rPr>
      </w:pPr>
    </w:p>
    <w:p w14:paraId="4FFBCA7F" w14:textId="02287A5F" w:rsidR="00374830" w:rsidRDefault="00A73AD5" w:rsidP="00354872">
      <w:pPr>
        <w:ind w:left="720" w:hanging="720"/>
        <w:jc w:val="left"/>
      </w:pPr>
      <w:r>
        <w:t xml:space="preserve">3.1 </w:t>
      </w:r>
      <w:r w:rsidR="00C5005A">
        <w:tab/>
      </w:r>
      <w:r w:rsidR="00C53C30" w:rsidRPr="00A04A57">
        <w:t xml:space="preserve">The </w:t>
      </w:r>
      <w:r w:rsidR="003239B1">
        <w:t>QPNP</w:t>
      </w:r>
      <w:r w:rsidR="00C9510C" w:rsidRPr="00A04A57">
        <w:t xml:space="preserve"> has been prepared and submitted for examination by</w:t>
      </w:r>
      <w:r w:rsidR="003239B1">
        <w:t xml:space="preserve"> QPCC</w:t>
      </w:r>
      <w:r w:rsidR="006F410B">
        <w:t>,</w:t>
      </w:r>
      <w:r w:rsidR="003239B1">
        <w:t xml:space="preserve"> </w:t>
      </w:r>
      <w:r w:rsidR="00C53C30" w:rsidRPr="00A04A57">
        <w:t xml:space="preserve">which is </w:t>
      </w:r>
      <w:r w:rsidR="00C9510C" w:rsidRPr="00A04A57">
        <w:t xml:space="preserve">a qualifying </w:t>
      </w:r>
      <w:r w:rsidR="00C9510C" w:rsidRPr="006F410B">
        <w:t>body</w:t>
      </w:r>
      <w:r w:rsidR="003239B1">
        <w:t xml:space="preserve"> </w:t>
      </w:r>
      <w:r w:rsidR="006F410B" w:rsidRPr="006F410B">
        <w:t>f</w:t>
      </w:r>
      <w:r w:rsidR="00C9510C" w:rsidRPr="006F410B">
        <w:t xml:space="preserve">or an area that </w:t>
      </w:r>
      <w:r w:rsidR="00C53C30" w:rsidRPr="006F410B">
        <w:t>was</w:t>
      </w:r>
      <w:r w:rsidR="00C9510C" w:rsidRPr="006F410B">
        <w:t xml:space="preserve"> designated by </w:t>
      </w:r>
      <w:r w:rsidR="003239B1">
        <w:t>WCC on 10 January 2014</w:t>
      </w:r>
      <w:r w:rsidR="00C53C30" w:rsidRPr="00A04A57">
        <w:t xml:space="preserve">.  </w:t>
      </w:r>
    </w:p>
    <w:p w14:paraId="0994440E" w14:textId="77777777" w:rsidR="0083641B" w:rsidRDefault="0083641B" w:rsidP="00354872">
      <w:pPr>
        <w:jc w:val="left"/>
      </w:pPr>
    </w:p>
    <w:p w14:paraId="18037F5E" w14:textId="134F528F" w:rsidR="000577D8" w:rsidRDefault="00374830" w:rsidP="00354872">
      <w:pPr>
        <w:ind w:left="720" w:hanging="720"/>
        <w:jc w:val="left"/>
      </w:pPr>
      <w:r>
        <w:t xml:space="preserve">3.2 </w:t>
      </w:r>
      <w:r w:rsidR="00C5005A">
        <w:tab/>
      </w:r>
      <w:r w:rsidRPr="00A04A57">
        <w:t xml:space="preserve">It is the only </w:t>
      </w:r>
      <w:r w:rsidR="00354872">
        <w:t>N</w:t>
      </w:r>
      <w:r w:rsidRPr="00A04A57">
        <w:t xml:space="preserve">eighbourhood </w:t>
      </w:r>
      <w:r w:rsidR="00354872">
        <w:t>P</w:t>
      </w:r>
      <w:r w:rsidRPr="00A04A57">
        <w:t xml:space="preserve">lan for </w:t>
      </w:r>
      <w:r w:rsidR="003239B1">
        <w:t>Queen’s Park</w:t>
      </w:r>
      <w:r w:rsidRPr="00A04A57">
        <w:t xml:space="preserve"> and does not relate to land outside the designated </w:t>
      </w:r>
      <w:r w:rsidR="00590331">
        <w:t>N</w:t>
      </w:r>
      <w:r w:rsidRPr="00A04A57">
        <w:t xml:space="preserve">eighbourhood </w:t>
      </w:r>
      <w:r w:rsidR="00590331">
        <w:t>Plan A</w:t>
      </w:r>
      <w:r w:rsidRPr="00A04A57">
        <w:t>rea.</w:t>
      </w:r>
    </w:p>
    <w:p w14:paraId="5939E80D" w14:textId="77777777" w:rsidR="000577D8" w:rsidRDefault="000577D8" w:rsidP="00354872">
      <w:pPr>
        <w:jc w:val="left"/>
      </w:pPr>
    </w:p>
    <w:p w14:paraId="1D882FB0" w14:textId="77777777" w:rsidR="00735E60" w:rsidRDefault="00735E60" w:rsidP="00354872">
      <w:pPr>
        <w:jc w:val="left"/>
        <w:rPr>
          <w:i/>
        </w:rPr>
      </w:pPr>
      <w:r w:rsidRPr="008B397B">
        <w:rPr>
          <w:i/>
        </w:rPr>
        <w:t xml:space="preserve">Plan Period </w:t>
      </w:r>
    </w:p>
    <w:p w14:paraId="0C9A3B2C" w14:textId="77777777" w:rsidR="0083641B" w:rsidRPr="008B397B" w:rsidRDefault="0083641B" w:rsidP="00354872">
      <w:pPr>
        <w:jc w:val="left"/>
        <w:rPr>
          <w:i/>
        </w:rPr>
      </w:pPr>
    </w:p>
    <w:p w14:paraId="13DCBE5C" w14:textId="0BBE65F9" w:rsidR="000D7758" w:rsidRDefault="00735E60" w:rsidP="00354872">
      <w:pPr>
        <w:ind w:left="720" w:hanging="720"/>
        <w:jc w:val="left"/>
      </w:pPr>
      <w:r>
        <w:t xml:space="preserve">3.3 </w:t>
      </w:r>
      <w:r w:rsidR="00C5005A">
        <w:tab/>
      </w:r>
      <w:r>
        <w:t xml:space="preserve">The </w:t>
      </w:r>
      <w:r w:rsidR="00E718D8">
        <w:t>P</w:t>
      </w:r>
      <w:r>
        <w:t xml:space="preserve">lan </w:t>
      </w:r>
      <w:proofErr w:type="gramStart"/>
      <w:r>
        <w:t>specifies clearly</w:t>
      </w:r>
      <w:proofErr w:type="gramEnd"/>
      <w:r>
        <w:t xml:space="preserve"> the period to which it is to take effect, which is from 20</w:t>
      </w:r>
      <w:r w:rsidR="003239B1">
        <w:t>20</w:t>
      </w:r>
      <w:r w:rsidR="0083572D">
        <w:t xml:space="preserve"> </w:t>
      </w:r>
      <w:r>
        <w:t>to 20</w:t>
      </w:r>
      <w:r w:rsidR="003239B1">
        <w:t>40</w:t>
      </w:r>
      <w:r>
        <w:t xml:space="preserve">. </w:t>
      </w:r>
    </w:p>
    <w:p w14:paraId="167F8BD1" w14:textId="77777777" w:rsidR="00AE0094" w:rsidRPr="00AE0094" w:rsidRDefault="00AE0094" w:rsidP="00354872">
      <w:pPr>
        <w:ind w:left="426" w:hanging="426"/>
        <w:jc w:val="left"/>
      </w:pPr>
    </w:p>
    <w:p w14:paraId="362393D6" w14:textId="77777777" w:rsidR="00374830" w:rsidRDefault="00374830" w:rsidP="00354872">
      <w:pPr>
        <w:jc w:val="left"/>
        <w:rPr>
          <w:i/>
        </w:rPr>
      </w:pPr>
      <w:r w:rsidRPr="008B397B">
        <w:rPr>
          <w:i/>
        </w:rPr>
        <w:t xml:space="preserve">Neighbourhood Plan </w:t>
      </w:r>
      <w:r w:rsidR="00735E60" w:rsidRPr="008B397B">
        <w:rPr>
          <w:i/>
        </w:rPr>
        <w:t>Pr</w:t>
      </w:r>
      <w:r w:rsidRPr="008B397B">
        <w:rPr>
          <w:i/>
        </w:rPr>
        <w:t xml:space="preserve">eparation and </w:t>
      </w:r>
      <w:r w:rsidR="00735E60" w:rsidRPr="008B397B">
        <w:rPr>
          <w:i/>
        </w:rPr>
        <w:t>C</w:t>
      </w:r>
      <w:r w:rsidRPr="008B397B">
        <w:rPr>
          <w:i/>
        </w:rPr>
        <w:t>onsultation</w:t>
      </w:r>
    </w:p>
    <w:p w14:paraId="0DEB5A74" w14:textId="77777777" w:rsidR="00AD5038" w:rsidRPr="008B397B" w:rsidRDefault="00AD5038" w:rsidP="00354872">
      <w:pPr>
        <w:jc w:val="left"/>
        <w:rPr>
          <w:i/>
        </w:rPr>
      </w:pPr>
    </w:p>
    <w:p w14:paraId="18F9C239" w14:textId="772F4E77" w:rsidR="00E727E6" w:rsidRDefault="00735E60" w:rsidP="00354872">
      <w:pPr>
        <w:tabs>
          <w:tab w:val="left" w:pos="567"/>
        </w:tabs>
        <w:autoSpaceDE w:val="0"/>
        <w:autoSpaceDN w:val="0"/>
        <w:adjustRightInd w:val="0"/>
        <w:ind w:left="720" w:hanging="720"/>
        <w:jc w:val="left"/>
      </w:pPr>
      <w:r>
        <w:t xml:space="preserve">3.4 </w:t>
      </w:r>
      <w:r w:rsidR="00C5005A">
        <w:tab/>
      </w:r>
      <w:r w:rsidR="00C5005A">
        <w:tab/>
      </w:r>
      <w:r w:rsidR="00BC5195">
        <w:t xml:space="preserve">QPCC was the first </w:t>
      </w:r>
      <w:r w:rsidR="0051105D">
        <w:t>C</w:t>
      </w:r>
      <w:r w:rsidR="00BC5195">
        <w:t xml:space="preserve">ommunity </w:t>
      </w:r>
      <w:r w:rsidR="0051105D">
        <w:t>C</w:t>
      </w:r>
      <w:r w:rsidR="00BC5195">
        <w:t xml:space="preserve">ouncil to be set up in London, following a campaign and </w:t>
      </w:r>
      <w:r w:rsidR="00F82D95">
        <w:t xml:space="preserve">local referendum in 2012.  Elections are held every 4 years with the first 12 councillors elected in May 2014, and </w:t>
      </w:r>
      <w:r w:rsidR="009C0708">
        <w:t xml:space="preserve">the </w:t>
      </w:r>
      <w:r w:rsidR="00F82D95">
        <w:t>second</w:t>
      </w:r>
      <w:r w:rsidR="009533EA">
        <w:t xml:space="preserve"> set</w:t>
      </w:r>
      <w:r w:rsidR="00F82D95">
        <w:t xml:space="preserve"> in May 2018.  Councillors are </w:t>
      </w:r>
      <w:proofErr w:type="gramStart"/>
      <w:r w:rsidR="00F82D95">
        <w:t>local residents</w:t>
      </w:r>
      <w:proofErr w:type="gramEnd"/>
      <w:r w:rsidR="00F82D95">
        <w:t xml:space="preserve"> with a wide range of experience and views and are not affiliated with particular political parties.  The Consultation Statement describes consultation activities conducted between 2013 (Summer Festival</w:t>
      </w:r>
      <w:r w:rsidR="009533EA">
        <w:t xml:space="preserve">- </w:t>
      </w:r>
      <w:r w:rsidR="00F82D95">
        <w:t xml:space="preserve">August 2013) and 2017.  QPCC sought to understand the views of </w:t>
      </w:r>
      <w:proofErr w:type="gramStart"/>
      <w:r w:rsidR="00F82D95">
        <w:t>local residents</w:t>
      </w:r>
      <w:proofErr w:type="gramEnd"/>
      <w:r w:rsidR="00F82D95">
        <w:t xml:space="preserve">, </w:t>
      </w:r>
      <w:r w:rsidR="00DB6363">
        <w:t>the voluntary sector organisations, Harrow Road retailers and WCC.  At the Summer Festival, 134 attendees were asked to name the one thing they wished to change about Queen’s Park, and 69 visitors to the stall were asked to identify their priority issues.  In September 2013, 32 in-depth interviews with a cross-section of community members showed that there was much interest in community development and support.  At the Summer Festival in August 2014, 103 mainly local people</w:t>
      </w:r>
      <w:r w:rsidR="009533EA">
        <w:t>,</w:t>
      </w:r>
      <w:r w:rsidR="00DB6363">
        <w:t xml:space="preserve"> </w:t>
      </w:r>
      <w:r w:rsidR="00E727E6">
        <w:t>commented on local issues and suggested possible improvements.</w:t>
      </w:r>
    </w:p>
    <w:p w14:paraId="409CD362" w14:textId="77777777" w:rsidR="00E727E6" w:rsidRDefault="00E727E6" w:rsidP="00354872">
      <w:pPr>
        <w:tabs>
          <w:tab w:val="left" w:pos="567"/>
        </w:tabs>
        <w:autoSpaceDE w:val="0"/>
        <w:autoSpaceDN w:val="0"/>
        <w:adjustRightInd w:val="0"/>
        <w:ind w:left="426" w:hanging="426"/>
        <w:jc w:val="left"/>
      </w:pPr>
    </w:p>
    <w:p w14:paraId="5B6625CD" w14:textId="71B4EB09" w:rsidR="00BC5195" w:rsidRDefault="00E727E6" w:rsidP="00354872">
      <w:pPr>
        <w:tabs>
          <w:tab w:val="left" w:pos="567"/>
        </w:tabs>
        <w:autoSpaceDE w:val="0"/>
        <w:autoSpaceDN w:val="0"/>
        <w:adjustRightInd w:val="0"/>
        <w:ind w:left="720" w:hanging="720"/>
        <w:jc w:val="left"/>
      </w:pPr>
      <w:r>
        <w:t xml:space="preserve">3.5 </w:t>
      </w:r>
      <w:r w:rsidR="00C5005A">
        <w:tab/>
      </w:r>
      <w:r w:rsidR="00C5005A">
        <w:tab/>
      </w:r>
      <w:r>
        <w:t>With funding from the Greater London Authority, a shop was opened in Harrow Road in June-July 2015 to aid the production of a neighbourhood plan.  Fifteen events, workshops and meetings took place and over 160 comments were received.  A desire to improve Harrow Road and its retail facilities, and conserve Cana</w:t>
      </w:r>
      <w:r w:rsidR="00D92235">
        <w:t>l</w:t>
      </w:r>
      <w:r>
        <w:t xml:space="preserve"> Terrace</w:t>
      </w:r>
      <w:r w:rsidR="009533EA">
        <w:t>,</w:t>
      </w:r>
      <w:r>
        <w:t xml:space="preserve"> </w:t>
      </w:r>
      <w:r w:rsidR="00D92235">
        <w:t>were two of the main issues arising.  In August 2015, interviews with independent shops and businesses in Harrow Road led to the formation of the Harrow Road Retailers Association (148 members) and a small working group.</w:t>
      </w:r>
      <w:r>
        <w:t xml:space="preserve"> </w:t>
      </w:r>
      <w:r w:rsidR="00F82D95">
        <w:t xml:space="preserve"> </w:t>
      </w:r>
      <w:r w:rsidR="00D12A35">
        <w:t xml:space="preserve">In 2017, WCC gave support for a project to write a Design Guide for Canal Terrace.  Other projects were also undertaken </w:t>
      </w:r>
      <w:r w:rsidR="0083103F">
        <w:t>as more information about issues of local significance were identified.  For example, b</w:t>
      </w:r>
      <w:r w:rsidR="00D92235">
        <w:t>etween 2015 and 2017, consultation with Open Age and The Avenues youth centre led to meetings and works to provide better resources for old</w:t>
      </w:r>
      <w:r w:rsidR="00856B5D">
        <w:t>er</w:t>
      </w:r>
      <w:r w:rsidR="00D92235">
        <w:t xml:space="preserve"> people</w:t>
      </w:r>
      <w:r w:rsidR="00D12A35">
        <w:t xml:space="preserve">, with funding to enable the youth club to be open for old people during the day in school terms.  </w:t>
      </w:r>
    </w:p>
    <w:p w14:paraId="39144620" w14:textId="44BDEB94" w:rsidR="000A567E" w:rsidRDefault="00663143" w:rsidP="00354872">
      <w:pPr>
        <w:tabs>
          <w:tab w:val="left" w:pos="567"/>
        </w:tabs>
        <w:autoSpaceDE w:val="0"/>
        <w:autoSpaceDN w:val="0"/>
        <w:adjustRightInd w:val="0"/>
        <w:ind w:left="720" w:hanging="720"/>
        <w:jc w:val="left"/>
      </w:pPr>
      <w:r>
        <w:t xml:space="preserve">3.6 </w:t>
      </w:r>
      <w:r w:rsidR="00C5005A">
        <w:tab/>
      </w:r>
      <w:r w:rsidR="00C5005A">
        <w:tab/>
      </w:r>
      <w:r w:rsidR="006320AD">
        <w:t>In February 2017, QPCC consulted the 1,728 households within the conservation area</w:t>
      </w:r>
      <w:r w:rsidR="00974EBD">
        <w:t xml:space="preserve"> about acceptable </w:t>
      </w:r>
      <w:r w:rsidR="001C5FCC">
        <w:t xml:space="preserve">alterations to buildings.  Only 34 households responded, and all but one of them were owner-occupiers.  Monthly meetings of QPCC councillors have led to the identification of issues of local concern, some of which are relevant to the </w:t>
      </w:r>
      <w:r w:rsidR="00B16DD0">
        <w:t>N</w:t>
      </w:r>
      <w:r w:rsidR="001C5FCC">
        <w:t xml:space="preserve">eighbourhood </w:t>
      </w:r>
      <w:r w:rsidR="00B16DD0">
        <w:t>P</w:t>
      </w:r>
      <w:r w:rsidR="001C5FCC">
        <w:t xml:space="preserve">lan.  Loss of community assets and the need for more social or affordable housing have been noted.  The draft QPNP, sent to WCC in January 2017, reflected the issues and concerns raised by local </w:t>
      </w:r>
      <w:r w:rsidR="0053329A">
        <w:t xml:space="preserve">people.  The Regulation 14 exercise at the end of 2017 </w:t>
      </w:r>
      <w:r w:rsidR="00963CCE">
        <w:t>co</w:t>
      </w:r>
      <w:r w:rsidR="0007451F">
        <w:t>nsiste</w:t>
      </w:r>
      <w:r w:rsidR="00963CCE">
        <w:t>d</w:t>
      </w:r>
      <w:r w:rsidR="0007451F">
        <w:t xml:space="preserve"> of</w:t>
      </w:r>
      <w:r w:rsidR="00963CCE">
        <w:t xml:space="preserve"> consultation with Queen’s Park residents, statutory bodies and WCC.  For residents and stakeholders, a very short version of the Plan was hand-delivered to all households, </w:t>
      </w:r>
      <w:r w:rsidR="00E2201D">
        <w:t xml:space="preserve">and </w:t>
      </w:r>
      <w:r w:rsidR="00963CCE">
        <w:t>a longer summary was placed on the QPCC website with printed copies available in four locations across Queen’s Park.  The full version was available on the website, and on request.  Three open meetings were arranged for residents in November and early December 2017.</w:t>
      </w:r>
    </w:p>
    <w:p w14:paraId="59D2F917" w14:textId="77777777" w:rsidR="000A567E" w:rsidRDefault="000A567E" w:rsidP="00354872">
      <w:pPr>
        <w:tabs>
          <w:tab w:val="left" w:pos="567"/>
        </w:tabs>
        <w:autoSpaceDE w:val="0"/>
        <w:autoSpaceDN w:val="0"/>
        <w:adjustRightInd w:val="0"/>
        <w:ind w:left="426" w:hanging="426"/>
        <w:jc w:val="left"/>
      </w:pPr>
    </w:p>
    <w:p w14:paraId="0DAABB6E" w14:textId="393B9EE6" w:rsidR="00C00444" w:rsidRDefault="000A567E" w:rsidP="00354872">
      <w:pPr>
        <w:tabs>
          <w:tab w:val="left" w:pos="567"/>
        </w:tabs>
        <w:autoSpaceDE w:val="0"/>
        <w:autoSpaceDN w:val="0"/>
        <w:adjustRightInd w:val="0"/>
        <w:ind w:left="720" w:hanging="720"/>
        <w:jc w:val="left"/>
      </w:pPr>
      <w:r>
        <w:t xml:space="preserve">3.7 </w:t>
      </w:r>
      <w:r w:rsidR="00C5005A">
        <w:tab/>
      </w:r>
      <w:r w:rsidR="00C5005A">
        <w:tab/>
      </w:r>
      <w:r>
        <w:t xml:space="preserve">The Consultation Statement reports that WCC and four statutory bodies responded to the Regulation 14 consultation exercise, but there was “little formal response from residents”.  The Regulation 16 exercise </w:t>
      </w:r>
      <w:r w:rsidR="00B16DD0">
        <w:t>(26 November 2020 – 21 January 2021)</w:t>
      </w:r>
      <w:r>
        <w:t xml:space="preserve"> produced responses from WCC, Knightsbridge Neighbourhood Forum, Thames Water, Natural England, Port of </w:t>
      </w:r>
      <w:r w:rsidR="00E2201D">
        <w:t xml:space="preserve">London Authority, Sport England, </w:t>
      </w:r>
      <w:r>
        <w:t>and only one other person</w:t>
      </w:r>
      <w:r w:rsidR="00C00444">
        <w:t xml:space="preserve">.  </w:t>
      </w:r>
      <w:r w:rsidR="0089096F">
        <w:t xml:space="preserve">I requested more information about the Regulation 16 </w:t>
      </w:r>
      <w:r w:rsidR="00E166C1">
        <w:t xml:space="preserve">consultation </w:t>
      </w:r>
      <w:r w:rsidR="0089096F">
        <w:t xml:space="preserve">exercise in my letter to </w:t>
      </w:r>
      <w:r w:rsidR="00E166C1">
        <w:t>QPCC and WCC of 22 February 2021.  QPCC responded on 5 March 2021</w:t>
      </w:r>
      <w:r w:rsidR="00F96C6F">
        <w:t xml:space="preserve"> </w:t>
      </w:r>
      <w:r w:rsidR="00E166C1">
        <w:t xml:space="preserve">with additional information about the consultation process, which I have </w:t>
      </w:r>
      <w:proofErr w:type="gramStart"/>
      <w:r w:rsidR="00E166C1">
        <w:t>taken into account</w:t>
      </w:r>
      <w:proofErr w:type="gramEnd"/>
      <w:r w:rsidR="00E166C1">
        <w:t xml:space="preserve">.  </w:t>
      </w:r>
      <w:r w:rsidR="00C00444">
        <w:t xml:space="preserve">In spite of the lack of responses from residents and </w:t>
      </w:r>
      <w:r w:rsidR="00E2201D">
        <w:t xml:space="preserve">local </w:t>
      </w:r>
      <w:r w:rsidR="00C00444">
        <w:t>stakeholders</w:t>
      </w:r>
      <w:r w:rsidR="00E2201D">
        <w:t xml:space="preserve"> at both the main stages of plan consultation</w:t>
      </w:r>
      <w:r w:rsidR="00C00444">
        <w:t xml:space="preserve">, I have seen no evidence that the consultation process </w:t>
      </w:r>
      <w:r w:rsidR="00B16DD0">
        <w:t xml:space="preserve">suffers from any shortcomings in relation to meeting </w:t>
      </w:r>
      <w:r w:rsidR="00C00444">
        <w:t xml:space="preserve">the legal requirements or </w:t>
      </w:r>
      <w:r w:rsidR="00B16DD0">
        <w:t xml:space="preserve">having regard to </w:t>
      </w:r>
      <w:r w:rsidR="00C00444">
        <w:t xml:space="preserve">the advice in the PPG on plan preparation.  Neither WCC nor the other statutory bodies </w:t>
      </w:r>
      <w:r w:rsidR="00236780">
        <w:t xml:space="preserve">who participated in the Regulation 16 exercise </w:t>
      </w:r>
      <w:r w:rsidR="00C00444">
        <w:t>have made complaints about the consultation process.  It is clear to me that a range of techniques to inform and engage with local people was adopted.</w:t>
      </w:r>
    </w:p>
    <w:p w14:paraId="69E516CB" w14:textId="77777777" w:rsidR="00C00444" w:rsidRDefault="00C00444" w:rsidP="00354872">
      <w:pPr>
        <w:tabs>
          <w:tab w:val="left" w:pos="567"/>
        </w:tabs>
        <w:autoSpaceDE w:val="0"/>
        <w:autoSpaceDN w:val="0"/>
        <w:adjustRightInd w:val="0"/>
        <w:ind w:left="426" w:hanging="426"/>
        <w:jc w:val="left"/>
      </w:pPr>
    </w:p>
    <w:p w14:paraId="14A84D8E" w14:textId="2216CAA0" w:rsidR="00974EBD" w:rsidRDefault="00C00444" w:rsidP="00354872">
      <w:pPr>
        <w:tabs>
          <w:tab w:val="left" w:pos="567"/>
        </w:tabs>
        <w:autoSpaceDE w:val="0"/>
        <w:autoSpaceDN w:val="0"/>
        <w:adjustRightInd w:val="0"/>
        <w:ind w:left="720" w:hanging="720"/>
        <w:jc w:val="left"/>
      </w:pPr>
      <w:r>
        <w:t xml:space="preserve">3.8 </w:t>
      </w:r>
      <w:r w:rsidR="00C5005A">
        <w:tab/>
      </w:r>
      <w:r w:rsidR="00C5005A">
        <w:tab/>
      </w:r>
      <w:r>
        <w:t xml:space="preserve">The Consultation Statement observes that Queen’s Park is one of the most deprived wards in Westminster.  Fewer than a quarter of its households were </w:t>
      </w:r>
      <w:proofErr w:type="gramStart"/>
      <w:r>
        <w:t>home owners</w:t>
      </w:r>
      <w:proofErr w:type="gramEnd"/>
      <w:r>
        <w:t xml:space="preserve"> in 2011, according to the Census.  The area’s profile</w:t>
      </w:r>
      <w:r w:rsidR="00236780">
        <w:t>, it is suggested in the Consultation Statement,</w:t>
      </w:r>
      <w:r>
        <w:t xml:space="preserve"> meant that residents have tended not to respond to formal public consultations.</w:t>
      </w:r>
      <w:r w:rsidR="0053329A">
        <w:t xml:space="preserve"> </w:t>
      </w:r>
      <w:r w:rsidR="00852BF9">
        <w:t xml:space="preserve"> I </w:t>
      </w:r>
      <w:r w:rsidR="00236780">
        <w:t xml:space="preserve">accept this argument and </w:t>
      </w:r>
      <w:r w:rsidR="00852BF9">
        <w:t>am satisfied that QPCC has worked hard to identify the issues and concerns of the local community</w:t>
      </w:r>
      <w:r w:rsidR="002022C5">
        <w:t>,</w:t>
      </w:r>
      <w:r w:rsidR="00852BF9">
        <w:t xml:space="preserve"> </w:t>
      </w:r>
      <w:r w:rsidR="002022C5">
        <w:t>to</w:t>
      </w:r>
      <w:r w:rsidR="00852BF9">
        <w:t xml:space="preserve"> provide </w:t>
      </w:r>
      <w:r w:rsidR="00236780">
        <w:t xml:space="preserve">a range of </w:t>
      </w:r>
      <w:r w:rsidR="00852BF9">
        <w:t>opportunities for comment and engagement</w:t>
      </w:r>
      <w:r w:rsidR="002022C5">
        <w:t>, and address the local issues/concerns in the Plan</w:t>
      </w:r>
      <w:r w:rsidR="00852BF9">
        <w:t>.  I conclude that the legal requirements for public consultation have been met</w:t>
      </w:r>
      <w:r w:rsidR="00B16DD0">
        <w:t xml:space="preserve"> and the advice in the PPG on plan preparation and engagement has been </w:t>
      </w:r>
      <w:r w:rsidR="00920275">
        <w:t xml:space="preserve">sufficiently </w:t>
      </w:r>
      <w:proofErr w:type="gramStart"/>
      <w:r w:rsidR="00B16DD0">
        <w:t>taken into account</w:t>
      </w:r>
      <w:proofErr w:type="gramEnd"/>
      <w:r w:rsidR="00852BF9">
        <w:t xml:space="preserve">. </w:t>
      </w:r>
    </w:p>
    <w:p w14:paraId="6D565F1A" w14:textId="61F481A6" w:rsidR="00AD5038" w:rsidRDefault="00AD5038" w:rsidP="00354872">
      <w:pPr>
        <w:tabs>
          <w:tab w:val="left" w:pos="567"/>
        </w:tabs>
        <w:autoSpaceDE w:val="0"/>
        <w:autoSpaceDN w:val="0"/>
        <w:adjustRightInd w:val="0"/>
        <w:ind w:left="0" w:firstLine="0"/>
        <w:jc w:val="left"/>
        <w:rPr>
          <w:color w:val="1F4E79" w:themeColor="accent1" w:themeShade="80"/>
        </w:rPr>
      </w:pPr>
    </w:p>
    <w:p w14:paraId="4F7871F8" w14:textId="77777777" w:rsidR="00F233B5" w:rsidRDefault="00F233B5" w:rsidP="00354872">
      <w:pPr>
        <w:tabs>
          <w:tab w:val="left" w:pos="567"/>
        </w:tabs>
        <w:autoSpaceDE w:val="0"/>
        <w:autoSpaceDN w:val="0"/>
        <w:adjustRightInd w:val="0"/>
        <w:ind w:left="426" w:hanging="426"/>
        <w:jc w:val="left"/>
        <w:rPr>
          <w:i/>
        </w:rPr>
      </w:pPr>
    </w:p>
    <w:p w14:paraId="084178B5" w14:textId="77777777" w:rsidR="00F233B5" w:rsidRDefault="00F233B5" w:rsidP="00354872">
      <w:pPr>
        <w:tabs>
          <w:tab w:val="left" w:pos="567"/>
        </w:tabs>
        <w:autoSpaceDE w:val="0"/>
        <w:autoSpaceDN w:val="0"/>
        <w:adjustRightInd w:val="0"/>
        <w:ind w:left="426" w:hanging="426"/>
        <w:jc w:val="left"/>
        <w:rPr>
          <w:i/>
        </w:rPr>
      </w:pPr>
    </w:p>
    <w:p w14:paraId="258B6880" w14:textId="5AB90D56" w:rsidR="00A73AD5" w:rsidRDefault="00374830" w:rsidP="00354872">
      <w:pPr>
        <w:tabs>
          <w:tab w:val="left" w:pos="567"/>
        </w:tabs>
        <w:autoSpaceDE w:val="0"/>
        <w:autoSpaceDN w:val="0"/>
        <w:adjustRightInd w:val="0"/>
        <w:ind w:left="426" w:hanging="426"/>
        <w:jc w:val="left"/>
        <w:rPr>
          <w:i/>
        </w:rPr>
      </w:pPr>
      <w:r w:rsidRPr="0083641B">
        <w:rPr>
          <w:i/>
        </w:rPr>
        <w:t>D</w:t>
      </w:r>
      <w:r w:rsidRPr="00CE61B9">
        <w:rPr>
          <w:i/>
        </w:rPr>
        <w:t xml:space="preserve">evelopment and Use of Land </w:t>
      </w:r>
    </w:p>
    <w:p w14:paraId="7034BA4F" w14:textId="77777777" w:rsidR="0083641B" w:rsidRPr="00CE61B9" w:rsidRDefault="0083641B" w:rsidP="00354872">
      <w:pPr>
        <w:tabs>
          <w:tab w:val="left" w:pos="567"/>
        </w:tabs>
        <w:autoSpaceDE w:val="0"/>
        <w:autoSpaceDN w:val="0"/>
        <w:adjustRightInd w:val="0"/>
        <w:ind w:left="426" w:hanging="426"/>
        <w:jc w:val="left"/>
        <w:rPr>
          <w:i/>
        </w:rPr>
      </w:pPr>
    </w:p>
    <w:p w14:paraId="31DC514D" w14:textId="093B6F0A" w:rsidR="00DC7B2F" w:rsidRDefault="00A73AD5" w:rsidP="00354872">
      <w:pPr>
        <w:ind w:left="720" w:hanging="720"/>
        <w:jc w:val="left"/>
        <w:rPr>
          <w:color w:val="FF0000"/>
        </w:rPr>
      </w:pPr>
      <w:r>
        <w:t>3.</w:t>
      </w:r>
      <w:r w:rsidR="00852BF9">
        <w:t xml:space="preserve">9 </w:t>
      </w:r>
      <w:r w:rsidR="00C5005A">
        <w:tab/>
      </w:r>
      <w:r w:rsidR="00E718D8">
        <w:t>The P</w:t>
      </w:r>
      <w:r w:rsidR="00A04A57">
        <w:t>lan</w:t>
      </w:r>
      <w:r w:rsidR="00C9510C" w:rsidRPr="00A04A57">
        <w:t xml:space="preserve"> sets out policies in relation to the development and use of land </w:t>
      </w:r>
      <w:r w:rsidR="00C53C30" w:rsidRPr="00A04A57">
        <w:t xml:space="preserve">in accordance with </w:t>
      </w:r>
      <w:r w:rsidR="00A04A57" w:rsidRPr="00A04A57">
        <w:t>s</w:t>
      </w:r>
      <w:r w:rsidR="00971A14">
        <w:t>.</w:t>
      </w:r>
      <w:r w:rsidR="00A04A57" w:rsidRPr="00A04A57">
        <w:t xml:space="preserve">38A of the </w:t>
      </w:r>
      <w:r w:rsidR="00060C6F">
        <w:t>2004 Act</w:t>
      </w:r>
      <w:r w:rsidR="00A04A57" w:rsidRPr="00363D31">
        <w:rPr>
          <w:color w:val="1F4E79" w:themeColor="accent1" w:themeShade="80"/>
        </w:rPr>
        <w:t xml:space="preserve">.  </w:t>
      </w:r>
    </w:p>
    <w:p w14:paraId="6C27C053" w14:textId="77777777" w:rsidR="0083641B" w:rsidRDefault="0083641B" w:rsidP="00354872">
      <w:pPr>
        <w:jc w:val="left"/>
      </w:pPr>
    </w:p>
    <w:p w14:paraId="4C0A29B0" w14:textId="77777777" w:rsidR="00DC7B2F" w:rsidRDefault="00DC7B2F" w:rsidP="00354872">
      <w:pPr>
        <w:jc w:val="left"/>
        <w:rPr>
          <w:i/>
        </w:rPr>
      </w:pPr>
      <w:r w:rsidRPr="000D7758">
        <w:rPr>
          <w:i/>
        </w:rPr>
        <w:t>Excluded Development</w:t>
      </w:r>
    </w:p>
    <w:p w14:paraId="3CEE1064" w14:textId="77777777" w:rsidR="0083641B" w:rsidRPr="000D7758" w:rsidRDefault="0083641B" w:rsidP="00354872">
      <w:pPr>
        <w:jc w:val="left"/>
        <w:rPr>
          <w:i/>
        </w:rPr>
      </w:pPr>
    </w:p>
    <w:p w14:paraId="13F7A2CC" w14:textId="481F8AAE" w:rsidR="00A73AD5" w:rsidRPr="00D4654B" w:rsidRDefault="00DC7B2F" w:rsidP="00354872">
      <w:pPr>
        <w:ind w:left="720" w:hanging="720"/>
        <w:jc w:val="left"/>
        <w:rPr>
          <w:color w:val="FF0000"/>
        </w:rPr>
      </w:pPr>
      <w:r>
        <w:t>3.</w:t>
      </w:r>
      <w:r w:rsidR="00852BF9">
        <w:t>10</w:t>
      </w:r>
      <w:r w:rsidR="00C5005A">
        <w:tab/>
      </w:r>
      <w:r w:rsidR="0083572D">
        <w:t xml:space="preserve">The </w:t>
      </w:r>
      <w:r w:rsidR="00E718D8">
        <w:t>P</w:t>
      </w:r>
      <w:r w:rsidR="0083572D" w:rsidRPr="0083572D">
        <w:t>lan</w:t>
      </w:r>
      <w:r w:rsidR="00852BF9">
        <w:t xml:space="preserve"> </w:t>
      </w:r>
      <w:r w:rsidR="0083572D" w:rsidRPr="00852BF9">
        <w:t>does not</w:t>
      </w:r>
      <w:r w:rsidR="00C9510C" w:rsidRPr="00852BF9">
        <w:t xml:space="preserve"> include</w:t>
      </w:r>
      <w:r w:rsidR="00C9510C" w:rsidRPr="00A04A57">
        <w:t xml:space="preserve"> provisions and policies fo</w:t>
      </w:r>
      <w:r w:rsidR="00A04A57" w:rsidRPr="00A04A57">
        <w:t xml:space="preserve">r ‘excluded development’.  </w:t>
      </w:r>
    </w:p>
    <w:p w14:paraId="1E2D371D" w14:textId="77777777" w:rsidR="0083641B" w:rsidRDefault="0083641B" w:rsidP="00354872">
      <w:pPr>
        <w:jc w:val="left"/>
        <w:rPr>
          <w:i/>
        </w:rPr>
      </w:pPr>
    </w:p>
    <w:p w14:paraId="47A8268E" w14:textId="77777777" w:rsidR="00A73AD5" w:rsidRDefault="00FA0583" w:rsidP="00354872">
      <w:pPr>
        <w:jc w:val="left"/>
        <w:rPr>
          <w:i/>
        </w:rPr>
      </w:pPr>
      <w:r w:rsidRPr="00FA0583">
        <w:rPr>
          <w:i/>
        </w:rPr>
        <w:t>Human Rights</w:t>
      </w:r>
    </w:p>
    <w:p w14:paraId="18DBF951" w14:textId="77777777" w:rsidR="0083641B" w:rsidRPr="00A73AD5" w:rsidRDefault="0083641B" w:rsidP="00354872">
      <w:pPr>
        <w:jc w:val="left"/>
        <w:rPr>
          <w:i/>
        </w:rPr>
      </w:pPr>
    </w:p>
    <w:p w14:paraId="49F86933" w14:textId="7D1809F4" w:rsidR="000D7758" w:rsidRDefault="00A108B2" w:rsidP="00354872">
      <w:pPr>
        <w:ind w:left="720" w:hanging="720"/>
        <w:jc w:val="left"/>
      </w:pPr>
      <w:r>
        <w:t>3.</w:t>
      </w:r>
      <w:r w:rsidR="00852BF9">
        <w:t xml:space="preserve">11 </w:t>
      </w:r>
      <w:r w:rsidR="00C5005A">
        <w:tab/>
      </w:r>
      <w:r w:rsidR="00852BF9">
        <w:t>QPCC</w:t>
      </w:r>
      <w:r w:rsidR="00E718D8">
        <w:t xml:space="preserve"> </w:t>
      </w:r>
      <w:r w:rsidR="00852BF9">
        <w:t>states, in the Basic Conditions Statement</w:t>
      </w:r>
      <w:r w:rsidR="00236780">
        <w:t>,</w:t>
      </w:r>
      <w:r w:rsidR="00E718D8">
        <w:t xml:space="preserve"> that the P</w:t>
      </w:r>
      <w:r w:rsidR="00A04A57" w:rsidRPr="00A04A57">
        <w:t>lan does not</w:t>
      </w:r>
      <w:r w:rsidR="00C9510C" w:rsidRPr="00A04A57">
        <w:t xml:space="preserve"> breach Human Rights </w:t>
      </w:r>
      <w:r w:rsidR="00A04A57" w:rsidRPr="00A04A57">
        <w:t>(within the meaning of the Human Rights Act 1998)</w:t>
      </w:r>
      <w:r w:rsidR="00852BF9">
        <w:t xml:space="preserve">.  WCC has not </w:t>
      </w:r>
      <w:r w:rsidR="00261B87">
        <w:t>disputed this claim</w:t>
      </w:r>
      <w:r w:rsidR="00852BF9">
        <w:t>,</w:t>
      </w:r>
      <w:r w:rsidR="00A04A57" w:rsidRPr="00A04A57">
        <w:t xml:space="preserve"> and </w:t>
      </w:r>
      <w:r w:rsidR="00060C6F">
        <w:t xml:space="preserve">from my independent assessment </w:t>
      </w:r>
      <w:r w:rsidR="00A04A57" w:rsidRPr="00A04A57">
        <w:t>I see no reason to disagree.</w:t>
      </w:r>
    </w:p>
    <w:p w14:paraId="59E89C06" w14:textId="77777777" w:rsidR="00917828" w:rsidRDefault="00917828" w:rsidP="00354872">
      <w:pPr>
        <w:jc w:val="left"/>
      </w:pPr>
    </w:p>
    <w:p w14:paraId="4BB66B7E" w14:textId="77777777" w:rsidR="00917828" w:rsidRDefault="00917828" w:rsidP="00354872">
      <w:pPr>
        <w:jc w:val="left"/>
      </w:pPr>
    </w:p>
    <w:p w14:paraId="3046AE65" w14:textId="77777777" w:rsidR="001365AC" w:rsidRDefault="00846A98" w:rsidP="00354872">
      <w:pPr>
        <w:jc w:val="left"/>
        <w:rPr>
          <w:b/>
        </w:rPr>
      </w:pPr>
      <w:r w:rsidRPr="00846A98">
        <w:rPr>
          <w:b/>
        </w:rPr>
        <w:t>4</w:t>
      </w:r>
      <w:r w:rsidR="00152550" w:rsidRPr="00846A98">
        <w:rPr>
          <w:b/>
        </w:rPr>
        <w:t xml:space="preserve">. </w:t>
      </w:r>
      <w:r w:rsidR="00514D35" w:rsidRPr="00846A98">
        <w:rPr>
          <w:b/>
        </w:rPr>
        <w:t xml:space="preserve">Compliance with the Basic Conditions </w:t>
      </w:r>
    </w:p>
    <w:p w14:paraId="229D2891" w14:textId="77777777" w:rsidR="00917828" w:rsidRDefault="00917828" w:rsidP="00354872">
      <w:pPr>
        <w:jc w:val="left"/>
        <w:rPr>
          <w:i/>
        </w:rPr>
      </w:pPr>
    </w:p>
    <w:p w14:paraId="022A0E48" w14:textId="77777777" w:rsidR="001365AC" w:rsidRDefault="001365AC" w:rsidP="00354872">
      <w:pPr>
        <w:jc w:val="left"/>
        <w:rPr>
          <w:i/>
        </w:rPr>
      </w:pPr>
      <w:r w:rsidRPr="000D7758">
        <w:rPr>
          <w:i/>
        </w:rPr>
        <w:t>EU Obligations</w:t>
      </w:r>
    </w:p>
    <w:p w14:paraId="22729E33" w14:textId="77777777" w:rsidR="00917828" w:rsidRPr="000D7758" w:rsidRDefault="00917828" w:rsidP="00354872">
      <w:pPr>
        <w:jc w:val="left"/>
        <w:rPr>
          <w:i/>
        </w:rPr>
      </w:pPr>
    </w:p>
    <w:p w14:paraId="222BCD4B" w14:textId="63F9728C" w:rsidR="000B3144" w:rsidRPr="00E6327A" w:rsidRDefault="00BE6BDD" w:rsidP="00354872">
      <w:pPr>
        <w:ind w:left="720" w:hanging="720"/>
        <w:jc w:val="left"/>
      </w:pPr>
      <w:r>
        <w:t xml:space="preserve">4.1 </w:t>
      </w:r>
      <w:r w:rsidR="00A17E69">
        <w:tab/>
      </w:r>
      <w:r w:rsidR="001365AC" w:rsidRPr="00236780">
        <w:t xml:space="preserve">The </w:t>
      </w:r>
      <w:r w:rsidR="00E6327A">
        <w:t xml:space="preserve">Basic Conditions Statement advises that the </w:t>
      </w:r>
      <w:r w:rsidR="009964F9" w:rsidRPr="00236780">
        <w:t>N</w:t>
      </w:r>
      <w:r w:rsidR="001365AC" w:rsidRPr="00236780">
        <w:t xml:space="preserve">eighbourhood </w:t>
      </w:r>
      <w:r w:rsidR="009964F9" w:rsidRPr="00236780">
        <w:t>P</w:t>
      </w:r>
      <w:r w:rsidR="001365AC" w:rsidRPr="00236780">
        <w:t xml:space="preserve">lan was screened for Strategic Environmental Assessment (SEA) by </w:t>
      </w:r>
      <w:r w:rsidR="00E6327A">
        <w:t>WCC</w:t>
      </w:r>
      <w:r w:rsidR="001365AC" w:rsidRPr="00236780">
        <w:t>, which found that it was unnecessary</w:t>
      </w:r>
      <w:r w:rsidR="003F4AD4" w:rsidRPr="00236780">
        <w:t xml:space="preserve"> </w:t>
      </w:r>
      <w:r w:rsidR="001365AC" w:rsidRPr="00236780">
        <w:t xml:space="preserve">to undertake SEA.  </w:t>
      </w:r>
      <w:r w:rsidR="00BD1981" w:rsidRPr="00E6327A">
        <w:t xml:space="preserve">Having read </w:t>
      </w:r>
      <w:r w:rsidR="00E6327A">
        <w:t xml:space="preserve">QPCC’s </w:t>
      </w:r>
      <w:r w:rsidR="00EC7B72">
        <w:t>“</w:t>
      </w:r>
      <w:r w:rsidR="00BD1981" w:rsidRPr="00E6327A">
        <w:t xml:space="preserve">Strategic Environmental Assessment Screening </w:t>
      </w:r>
      <w:r w:rsidR="00E6327A">
        <w:t>Report and Habitats Regulations Assessment Screening Report March 2018</w:t>
      </w:r>
      <w:r w:rsidR="00EC7B72">
        <w:t>”</w:t>
      </w:r>
      <w:r w:rsidR="00E6327A">
        <w:t>,</w:t>
      </w:r>
      <w:r w:rsidR="00BD1981" w:rsidRPr="00E6327A">
        <w:t xml:space="preserve"> I support this conclusion</w:t>
      </w:r>
      <w:r w:rsidR="00E6327A">
        <w:t>.</w:t>
      </w:r>
    </w:p>
    <w:p w14:paraId="056F7AA9" w14:textId="77777777" w:rsidR="00E718D8" w:rsidRPr="00D4654B" w:rsidRDefault="00E718D8" w:rsidP="00354872">
      <w:pPr>
        <w:ind w:firstLine="0"/>
        <w:jc w:val="left"/>
        <w:rPr>
          <w:color w:val="FF0000"/>
        </w:rPr>
      </w:pPr>
    </w:p>
    <w:p w14:paraId="20C152A7" w14:textId="34511900" w:rsidR="00D4654B" w:rsidRPr="00E6327A" w:rsidRDefault="00BE6BDD" w:rsidP="00354872">
      <w:pPr>
        <w:ind w:left="720" w:hanging="720"/>
        <w:jc w:val="left"/>
      </w:pPr>
      <w:r>
        <w:t xml:space="preserve">4.2 </w:t>
      </w:r>
      <w:r w:rsidR="00A17E69">
        <w:tab/>
      </w:r>
      <w:r w:rsidR="00E6327A">
        <w:t>The QPNP</w:t>
      </w:r>
      <w:r w:rsidR="001365AC" w:rsidRPr="00E6327A">
        <w:t xml:space="preserve"> was </w:t>
      </w:r>
      <w:r w:rsidR="00735E60" w:rsidRPr="00E6327A">
        <w:t xml:space="preserve">further </w:t>
      </w:r>
      <w:r w:rsidR="001365AC" w:rsidRPr="00E6327A">
        <w:t>screened for Habitats Regulations Assessment (HRA)</w:t>
      </w:r>
      <w:r w:rsidR="00E6327A">
        <w:t xml:space="preserve"> as described in the March 2018 report.  This concluded that there would be no likely significant effects in respect of European sites, and that </w:t>
      </w:r>
      <w:r w:rsidR="003468E8">
        <w:t xml:space="preserve">further HRA would not be required.  Natural England concurred with the outcomes of both the SEA and HRA as the QPNP would not have negative impacts on any Natura 2000 sites, or biodiversity more broadly. </w:t>
      </w:r>
      <w:r w:rsidR="00856B5D">
        <w:t xml:space="preserve"> After</w:t>
      </w:r>
      <w:r w:rsidR="003468E8">
        <w:t xml:space="preserve"> reading the screening report, I have no reason to disagree.</w:t>
      </w:r>
    </w:p>
    <w:p w14:paraId="34CCA20A" w14:textId="77777777" w:rsidR="00AD5038" w:rsidRPr="00D4654B" w:rsidRDefault="00AD5038" w:rsidP="00354872">
      <w:pPr>
        <w:ind w:left="0" w:firstLine="0"/>
        <w:jc w:val="left"/>
        <w:rPr>
          <w:color w:val="FF0000"/>
        </w:rPr>
      </w:pPr>
    </w:p>
    <w:p w14:paraId="29712F21" w14:textId="77777777" w:rsidR="001365AC" w:rsidRPr="00C81AE9" w:rsidRDefault="001365AC" w:rsidP="00354872">
      <w:pPr>
        <w:ind w:left="0" w:firstLine="0"/>
        <w:jc w:val="left"/>
        <w:rPr>
          <w:i/>
          <w:iCs/>
        </w:rPr>
      </w:pPr>
      <w:r w:rsidRPr="00C81AE9">
        <w:rPr>
          <w:i/>
          <w:iCs/>
        </w:rPr>
        <w:t>Main Issues</w:t>
      </w:r>
    </w:p>
    <w:p w14:paraId="7629C220" w14:textId="77777777" w:rsidR="00AD5038" w:rsidRPr="00C81AE9" w:rsidRDefault="00AD5038" w:rsidP="00354872">
      <w:pPr>
        <w:ind w:left="0" w:firstLine="0"/>
        <w:jc w:val="left"/>
        <w:rPr>
          <w:i/>
          <w:iCs/>
        </w:rPr>
      </w:pPr>
    </w:p>
    <w:p w14:paraId="3B094E38" w14:textId="2638D6CA" w:rsidR="003F4AD4" w:rsidRPr="002022C5" w:rsidRDefault="001E4F13" w:rsidP="00354872">
      <w:pPr>
        <w:ind w:left="720" w:hanging="720"/>
        <w:jc w:val="left"/>
        <w:rPr>
          <w:szCs w:val="22"/>
        </w:rPr>
      </w:pPr>
      <w:r>
        <w:t>4.</w:t>
      </w:r>
      <w:r w:rsidR="002022C5">
        <w:t xml:space="preserve">3 </w:t>
      </w:r>
      <w:r w:rsidR="00A17E69">
        <w:tab/>
      </w:r>
      <w:r w:rsidR="003F4AD4" w:rsidRPr="002022C5">
        <w:rPr>
          <w:szCs w:val="22"/>
        </w:rPr>
        <w:t xml:space="preserve">I have approached the assessment of compliance with the Basic Conditions of the </w:t>
      </w:r>
      <w:r w:rsidR="002022C5">
        <w:rPr>
          <w:szCs w:val="22"/>
        </w:rPr>
        <w:t>QPNP</w:t>
      </w:r>
      <w:r w:rsidR="003F4AD4" w:rsidRPr="002022C5">
        <w:rPr>
          <w:szCs w:val="22"/>
        </w:rPr>
        <w:t xml:space="preserve"> as two main matters:</w:t>
      </w:r>
    </w:p>
    <w:p w14:paraId="6F0A9946" w14:textId="77777777" w:rsidR="003F4AD4" w:rsidRPr="002022C5" w:rsidRDefault="003F4AD4" w:rsidP="00AF322E">
      <w:pPr>
        <w:pStyle w:val="ListParagraph"/>
        <w:numPr>
          <w:ilvl w:val="0"/>
          <w:numId w:val="6"/>
        </w:numPr>
        <w:spacing w:after="160"/>
        <w:ind w:firstLine="354"/>
        <w:jc w:val="left"/>
        <w:rPr>
          <w:szCs w:val="22"/>
        </w:rPr>
      </w:pPr>
      <w:r w:rsidRPr="002022C5">
        <w:rPr>
          <w:szCs w:val="22"/>
        </w:rPr>
        <w:t>General issues of compliance of the Plan, as a whole; and</w:t>
      </w:r>
    </w:p>
    <w:p w14:paraId="7FFB07C7" w14:textId="37C576B0" w:rsidR="00A17E69" w:rsidRPr="00110C0A" w:rsidRDefault="003F4AD4" w:rsidP="00AF322E">
      <w:pPr>
        <w:pStyle w:val="ListParagraph"/>
        <w:numPr>
          <w:ilvl w:val="0"/>
          <w:numId w:val="6"/>
        </w:numPr>
        <w:ind w:firstLine="354"/>
        <w:jc w:val="left"/>
        <w:rPr>
          <w:szCs w:val="22"/>
        </w:rPr>
      </w:pPr>
      <w:r w:rsidRPr="002022C5">
        <w:rPr>
          <w:szCs w:val="22"/>
        </w:rPr>
        <w:t>Specific issues of compliance of the Plan policies.</w:t>
      </w:r>
    </w:p>
    <w:p w14:paraId="0B672A60" w14:textId="7BEF99E7" w:rsidR="004C0AB0" w:rsidRDefault="004C0AB0" w:rsidP="00354872">
      <w:pPr>
        <w:jc w:val="left"/>
        <w:rPr>
          <w:i/>
        </w:rPr>
      </w:pPr>
    </w:p>
    <w:p w14:paraId="31F0264F" w14:textId="64FA740C" w:rsidR="003A3751" w:rsidRDefault="003A3751" w:rsidP="00354872">
      <w:pPr>
        <w:jc w:val="left"/>
        <w:rPr>
          <w:i/>
        </w:rPr>
      </w:pPr>
    </w:p>
    <w:p w14:paraId="7742D7E8" w14:textId="5A61E088" w:rsidR="003A3751" w:rsidRDefault="003A3751" w:rsidP="00354872">
      <w:pPr>
        <w:jc w:val="left"/>
        <w:rPr>
          <w:i/>
        </w:rPr>
      </w:pPr>
    </w:p>
    <w:p w14:paraId="77EFA7FB" w14:textId="77777777" w:rsidR="003A3751" w:rsidRDefault="003A3751" w:rsidP="00354872">
      <w:pPr>
        <w:jc w:val="left"/>
        <w:rPr>
          <w:i/>
        </w:rPr>
      </w:pPr>
    </w:p>
    <w:p w14:paraId="7C2EE60B" w14:textId="486CA79E" w:rsidR="00146A8F" w:rsidRDefault="00146A8F" w:rsidP="00354872">
      <w:pPr>
        <w:jc w:val="left"/>
        <w:rPr>
          <w:i/>
        </w:rPr>
      </w:pPr>
      <w:r>
        <w:rPr>
          <w:i/>
        </w:rPr>
        <w:t>General Issues of Compliance</w:t>
      </w:r>
    </w:p>
    <w:p w14:paraId="2E3C3AF2" w14:textId="77777777" w:rsidR="00146A8F" w:rsidRPr="00146A8F" w:rsidRDefault="00146A8F" w:rsidP="00354872">
      <w:pPr>
        <w:jc w:val="left"/>
        <w:rPr>
          <w:i/>
        </w:rPr>
      </w:pPr>
    </w:p>
    <w:p w14:paraId="57AE0EA2" w14:textId="5C664CB6" w:rsidR="00874CFF" w:rsidRDefault="00146A8F" w:rsidP="00354872">
      <w:pPr>
        <w:ind w:left="720" w:hanging="720"/>
        <w:jc w:val="left"/>
      </w:pPr>
      <w:r>
        <w:t xml:space="preserve">4.4 </w:t>
      </w:r>
      <w:r w:rsidR="00A17E69">
        <w:tab/>
      </w:r>
      <w:r w:rsidR="002C2B6A">
        <w:t>T</w:t>
      </w:r>
      <w:r>
        <w:t>he QPNP is a very succinct neighbourhood plan</w:t>
      </w:r>
      <w:r w:rsidR="00E0427B">
        <w:t xml:space="preserve">, and this should be </w:t>
      </w:r>
      <w:r w:rsidR="00421411">
        <w:t>helpful for</w:t>
      </w:r>
      <w:r w:rsidR="00E0427B">
        <w:t xml:space="preserve"> readers and users.  QPCC’s vision is set out at the start of the Introduction.  This seeks the best possible facilities and services for residents; an excellent natural environment; </w:t>
      </w:r>
      <w:r w:rsidR="00342F88">
        <w:t>best design</w:t>
      </w:r>
      <w:r w:rsidR="00E0427B">
        <w:t xml:space="preserve"> and a low-carbon future</w:t>
      </w:r>
      <w:r w:rsidR="00856B5D">
        <w:t>.  The Plan aims to</w:t>
      </w:r>
      <w:r w:rsidR="00E0427B">
        <w:t xml:space="preserve"> </w:t>
      </w:r>
      <w:r w:rsidR="00856B5D">
        <w:t xml:space="preserve">safeguard and </w:t>
      </w:r>
      <w:r w:rsidR="00E0427B">
        <w:t xml:space="preserve">build on local </w:t>
      </w:r>
      <w:r w:rsidR="00342F88">
        <w:t>heritage assets</w:t>
      </w:r>
      <w:r w:rsidR="00E0427B">
        <w:t xml:space="preserve">; </w:t>
      </w:r>
      <w:r w:rsidR="00342F88">
        <w:t>foster</w:t>
      </w:r>
      <w:r w:rsidR="00A95370">
        <w:t xml:space="preserve"> a</w:t>
      </w:r>
      <w:r w:rsidR="00342F88">
        <w:t xml:space="preserve"> </w:t>
      </w:r>
      <w:r w:rsidR="00E0427B">
        <w:t>strong sense of community</w:t>
      </w:r>
      <w:r w:rsidR="00856B5D">
        <w:t>;</w:t>
      </w:r>
      <w:r w:rsidR="00E0427B">
        <w:t xml:space="preserve"> valu</w:t>
      </w:r>
      <w:r w:rsidR="00856B5D">
        <w:t>e</w:t>
      </w:r>
      <w:r w:rsidR="00E0427B">
        <w:t xml:space="preserve"> diversity </w:t>
      </w:r>
      <w:r w:rsidR="00342F88">
        <w:t>and enabl</w:t>
      </w:r>
      <w:r w:rsidR="00856B5D">
        <w:t>e</w:t>
      </w:r>
      <w:r w:rsidR="00342F88">
        <w:t xml:space="preserve"> all to live and work together.</w:t>
      </w:r>
      <w:r w:rsidR="00E0427B">
        <w:t xml:space="preserve">  </w:t>
      </w:r>
      <w:r w:rsidR="00342F88">
        <w:t xml:space="preserve">Having visited Queen’s Park and </w:t>
      </w:r>
      <w:r w:rsidR="00A95370">
        <w:t xml:space="preserve">having </w:t>
      </w:r>
      <w:r w:rsidR="00342F88">
        <w:t xml:space="preserve">read the evidential base for the QPNP, I consider that </w:t>
      </w:r>
      <w:proofErr w:type="gramStart"/>
      <w:r w:rsidR="00874CFF">
        <w:t>overall</w:t>
      </w:r>
      <w:proofErr w:type="gramEnd"/>
      <w:r w:rsidR="00874CFF">
        <w:t xml:space="preserve"> </w:t>
      </w:r>
      <w:r w:rsidR="00342F88">
        <w:t>this vision is appro</w:t>
      </w:r>
      <w:r w:rsidR="002D20AD">
        <w:t>priate for the area.</w:t>
      </w:r>
      <w:r w:rsidR="00342F88">
        <w:t xml:space="preserve"> </w:t>
      </w:r>
    </w:p>
    <w:p w14:paraId="4B7449F2" w14:textId="77777777" w:rsidR="00874CFF" w:rsidRDefault="00874CFF" w:rsidP="00354872">
      <w:pPr>
        <w:jc w:val="left"/>
      </w:pPr>
    </w:p>
    <w:p w14:paraId="4745B4BC" w14:textId="67D65009" w:rsidR="00DC1D70" w:rsidRDefault="00874CFF" w:rsidP="00354872">
      <w:pPr>
        <w:ind w:left="720" w:hanging="720"/>
        <w:jc w:val="left"/>
      </w:pPr>
      <w:r>
        <w:t xml:space="preserve">4.5 </w:t>
      </w:r>
      <w:r w:rsidR="00A17E69">
        <w:tab/>
      </w:r>
      <w:r>
        <w:t>The Knightsbridge Neighbourhood Forum pointed out that WCC had declared a “Climate Emergency” in September 2019 and had followed through its commitment to achieve net zero carbon emissions by 2040, in the new City Plan.  It was suggested that objective 3 of the QPNP should be modified to seek “the achievement of net zero carbon emissions” rather than “a low carbon agenda”.  In response to my preliminary questions on the Plan, QPCC state</w:t>
      </w:r>
      <w:r w:rsidR="00856B5D">
        <w:t>d</w:t>
      </w:r>
      <w:r>
        <w:t xml:space="preserve"> it</w:t>
      </w:r>
      <w:r w:rsidR="00856B5D">
        <w:t>s</w:t>
      </w:r>
      <w:r>
        <w:t xml:space="preserve"> support</w:t>
      </w:r>
      <w:r w:rsidR="00856B5D">
        <w:t xml:space="preserve"> for</w:t>
      </w:r>
      <w:r>
        <w:t xml:space="preserve"> having the same target as WCC.  I therefore propose to modify the Vision and objective 3 of the QPNP, as in </w:t>
      </w:r>
      <w:r>
        <w:rPr>
          <w:b/>
        </w:rPr>
        <w:t>PM</w:t>
      </w:r>
      <w:r w:rsidR="00A759D5">
        <w:rPr>
          <w:b/>
        </w:rPr>
        <w:t>2</w:t>
      </w:r>
      <w:r>
        <w:t>, to state that the Plan aims to achieve net zero carbon emissions</w:t>
      </w:r>
      <w:r w:rsidR="002D20AD">
        <w:t>.  With this modification in place, the vision and objectives will</w:t>
      </w:r>
      <w:r>
        <w:t xml:space="preserve"> </w:t>
      </w:r>
      <w:r w:rsidR="002D20AD">
        <w:t xml:space="preserve">have regard </w:t>
      </w:r>
      <w:r w:rsidR="00EC7B72">
        <w:t xml:space="preserve">to </w:t>
      </w:r>
      <w:r w:rsidR="002D20AD">
        <w:t>national planning policy, be in general conformity with strategic local policy, and should contribute to the achievement of sustainable development.</w:t>
      </w:r>
      <w:r w:rsidR="002D20AD" w:rsidRPr="00874CFF">
        <w:t xml:space="preserve"> </w:t>
      </w:r>
      <w:r w:rsidR="002D20AD">
        <w:t xml:space="preserve"> </w:t>
      </w:r>
    </w:p>
    <w:p w14:paraId="583378BF" w14:textId="77777777" w:rsidR="00DC1D70" w:rsidRDefault="00DC1D70" w:rsidP="00354872">
      <w:pPr>
        <w:jc w:val="left"/>
      </w:pPr>
    </w:p>
    <w:p w14:paraId="49AC192B" w14:textId="7FD1E4C8" w:rsidR="002D31F0" w:rsidRDefault="00DC1D70" w:rsidP="00354872">
      <w:pPr>
        <w:ind w:left="720" w:hanging="720"/>
        <w:jc w:val="left"/>
      </w:pPr>
      <w:r>
        <w:t>4.</w:t>
      </w:r>
      <w:r w:rsidR="00421411">
        <w:t>6</w:t>
      </w:r>
      <w:r>
        <w:t xml:space="preserve"> </w:t>
      </w:r>
      <w:r w:rsidR="00A17E69">
        <w:tab/>
      </w:r>
      <w:r>
        <w:t>The Plan’s Introduction addresses: Why Queen’s Park needs a neighbourhood plan</w:t>
      </w:r>
      <w:r w:rsidR="00B761EC">
        <w:t xml:space="preserve">, and How the </w:t>
      </w:r>
      <w:r w:rsidR="00B16DD0">
        <w:t>N</w:t>
      </w:r>
      <w:r w:rsidR="00B761EC">
        <w:t xml:space="preserve">eighbourhood </w:t>
      </w:r>
      <w:r w:rsidR="00B16DD0">
        <w:t>P</w:t>
      </w:r>
      <w:r w:rsidR="00B761EC">
        <w:t>lan fits into the planning system.  The Local planning context, with a set of maps to show the location of Queen’s Park in Westminster, follows</w:t>
      </w:r>
      <w:r>
        <w:t>.</w:t>
      </w:r>
      <w:r w:rsidR="00B761EC">
        <w:t xml:space="preserve">  </w:t>
      </w:r>
      <w:r w:rsidR="00B05820">
        <w:t xml:space="preserve">The Policy objectives, described on Pages 14 and 15, follow logically from the vision, and lead to the identification of six </w:t>
      </w:r>
      <w:r w:rsidR="00EC7B72">
        <w:t>p</w:t>
      </w:r>
      <w:r w:rsidR="00B05820">
        <w:t xml:space="preserve">olicy headings.  </w:t>
      </w:r>
      <w:r w:rsidR="004A5907">
        <w:t xml:space="preserve"> </w:t>
      </w:r>
      <w:r w:rsidR="00B05820">
        <w:t xml:space="preserve"> </w:t>
      </w:r>
      <w:r w:rsidR="00B761EC">
        <w:t>I consider that all these sections</w:t>
      </w:r>
      <w:r w:rsidR="002D20AD">
        <w:t xml:space="preserve"> with PM</w:t>
      </w:r>
      <w:r w:rsidR="00F71FCD">
        <w:t>2</w:t>
      </w:r>
      <w:r w:rsidR="002D20AD">
        <w:t xml:space="preserve"> in place</w:t>
      </w:r>
      <w:r w:rsidR="00B761EC">
        <w:t xml:space="preserve">, as well as the Acknowledgement to other organisations who have assisted with plan-making, provide an appropriate start to the </w:t>
      </w:r>
      <w:proofErr w:type="gramStart"/>
      <w:r w:rsidR="00B761EC">
        <w:t>QPNP</w:t>
      </w:r>
      <w:proofErr w:type="gramEnd"/>
      <w:r w:rsidR="00A95370">
        <w:t xml:space="preserve"> and meet the </w:t>
      </w:r>
      <w:r w:rsidR="00856B5D">
        <w:t>B</w:t>
      </w:r>
      <w:r w:rsidR="00A95370">
        <w:t xml:space="preserve">asic </w:t>
      </w:r>
      <w:r w:rsidR="00856B5D">
        <w:t>C</w:t>
      </w:r>
      <w:r w:rsidR="00A95370">
        <w:t>onditions</w:t>
      </w:r>
      <w:r w:rsidR="00B761EC">
        <w:t xml:space="preserve">.  </w:t>
      </w:r>
    </w:p>
    <w:p w14:paraId="6A4E6208" w14:textId="77777777" w:rsidR="002D31F0" w:rsidRDefault="002D31F0" w:rsidP="00354872">
      <w:pPr>
        <w:jc w:val="left"/>
      </w:pPr>
    </w:p>
    <w:p w14:paraId="5C13BDD2" w14:textId="5CABAE17" w:rsidR="00847668" w:rsidRDefault="00421411" w:rsidP="00354872">
      <w:pPr>
        <w:ind w:left="720" w:hanging="720"/>
        <w:jc w:val="left"/>
      </w:pPr>
      <w:r>
        <w:t>4.7</w:t>
      </w:r>
      <w:r w:rsidR="002D31F0">
        <w:t xml:space="preserve"> </w:t>
      </w:r>
      <w:r w:rsidR="00A17E69">
        <w:tab/>
      </w:r>
      <w:r w:rsidR="00B761EC">
        <w:t>However, the Introduction should include a clear map which shows the extent of the QPNP area</w:t>
      </w:r>
      <w:r w:rsidR="0096221E">
        <w:t>,</w:t>
      </w:r>
      <w:r w:rsidR="00B761EC">
        <w:t xml:space="preserve"> with </w:t>
      </w:r>
      <w:r w:rsidR="00A95370">
        <w:t>appropriate names of roads and landmarks.</w:t>
      </w:r>
      <w:r w:rsidR="00B05820">
        <w:t xml:space="preserve">  The map on Page 42 in Annex 1, with the supporting text on Page 43, </w:t>
      </w:r>
      <w:r w:rsidR="00A95370">
        <w:t xml:space="preserve">fulfils this role, and should be moved to the Introduction as in </w:t>
      </w:r>
      <w:r w:rsidR="00A95370">
        <w:rPr>
          <w:b/>
        </w:rPr>
        <w:t>PM</w:t>
      </w:r>
      <w:r w:rsidR="00A759D5">
        <w:rPr>
          <w:b/>
        </w:rPr>
        <w:t>3</w:t>
      </w:r>
      <w:r w:rsidR="00A95370">
        <w:t xml:space="preserve">, to provide clarity </w:t>
      </w:r>
      <w:r w:rsidR="00F6402F">
        <w:t xml:space="preserve">at an early stage </w:t>
      </w:r>
      <w:r w:rsidR="00A95370">
        <w:t>for readers and users of the Plan.</w:t>
      </w:r>
      <w:r w:rsidR="00B761EC">
        <w:t xml:space="preserve"> </w:t>
      </w:r>
      <w:r w:rsidR="00DC1D70">
        <w:t xml:space="preserve"> </w:t>
      </w:r>
      <w:r w:rsidR="00A674CC">
        <w:t xml:space="preserve">The QPNP </w:t>
      </w:r>
      <w:r w:rsidR="00D47B17">
        <w:t xml:space="preserve">also </w:t>
      </w:r>
      <w:r w:rsidR="00A674CC">
        <w:t xml:space="preserve">requires some updating so that it refers to the recently adopted Westminster City Plan and </w:t>
      </w:r>
      <w:r w:rsidR="00F6402F">
        <w:t xml:space="preserve">new </w:t>
      </w:r>
      <w:r w:rsidR="00A674CC">
        <w:t>London Plan, a</w:t>
      </w:r>
      <w:r w:rsidR="00F6402F">
        <w:t>s well as</w:t>
      </w:r>
      <w:r w:rsidR="00A674CC">
        <w:t xml:space="preserve"> the climate emergency measures pledged by QPCC in February 2020.  The SOCG puts forward modifications to paragraphs 1.4, Page 8 (London box), 1.13, 1.14, 1.16, 1.18, Maps 1.1 and 1.3, which I support as they would secure th</w:t>
      </w:r>
      <w:r w:rsidR="00F6402F">
        <w:t>e</w:t>
      </w:r>
      <w:r w:rsidR="00A674CC">
        <w:t xml:space="preserve"> </w:t>
      </w:r>
      <w:r w:rsidR="00F6402F">
        <w:t xml:space="preserve">necessary </w:t>
      </w:r>
      <w:r w:rsidR="00A674CC">
        <w:t>update</w:t>
      </w:r>
      <w:r w:rsidR="00F6402F">
        <w:t>s</w:t>
      </w:r>
      <w:r w:rsidR="00A674CC">
        <w:t>.</w:t>
      </w:r>
      <w:r w:rsidR="00DC1D70">
        <w:t xml:space="preserve"> </w:t>
      </w:r>
      <w:r w:rsidR="00847668">
        <w:t xml:space="preserve"> </w:t>
      </w:r>
      <w:r w:rsidR="00F6402F">
        <w:t>The SOCG also includes modification to the Policy headings on Pages 14 and 15, to name the relevant policies for each objective.  I consider that this additional in</w:t>
      </w:r>
      <w:r w:rsidR="00D47B17">
        <w:t>formation should be made for general conformity with strategic planning policies and for the achievement of sustainable development</w:t>
      </w:r>
      <w:r w:rsidR="00F6402F">
        <w:t xml:space="preserve">.  </w:t>
      </w:r>
    </w:p>
    <w:p w14:paraId="7C661739" w14:textId="77777777" w:rsidR="00847668" w:rsidRDefault="00847668" w:rsidP="00354872">
      <w:pPr>
        <w:jc w:val="left"/>
      </w:pPr>
    </w:p>
    <w:p w14:paraId="7395E229" w14:textId="1C7A0E75" w:rsidR="00B05820" w:rsidRDefault="00421411" w:rsidP="00354872">
      <w:pPr>
        <w:ind w:left="720" w:hanging="720"/>
        <w:jc w:val="left"/>
      </w:pPr>
      <w:r>
        <w:t>4.8</w:t>
      </w:r>
      <w:r w:rsidR="00847668">
        <w:t xml:space="preserve"> </w:t>
      </w:r>
      <w:r w:rsidR="00A17E69">
        <w:tab/>
      </w:r>
      <w:r w:rsidR="00B05820">
        <w:t>Section 2 of the Plan, starting on Page 17, covers the Plan</w:t>
      </w:r>
      <w:r>
        <w:t>’s</w:t>
      </w:r>
      <w:r w:rsidR="00B05820">
        <w:t xml:space="preserve"> </w:t>
      </w:r>
      <w:r>
        <w:t>p</w:t>
      </w:r>
      <w:r w:rsidR="00B05820">
        <w:t>olicies.</w:t>
      </w:r>
      <w:r w:rsidR="00A026B1">
        <w:t xml:space="preserve">  Policy 1</w:t>
      </w:r>
      <w:r w:rsidR="004602FE">
        <w:t>:</w:t>
      </w:r>
      <w:r w:rsidR="00A026B1">
        <w:t xml:space="preserve"> Amenities seeks to limit the loss of community facilities.  I consider that the policy wording should be modified as proposed in the SOCG</w:t>
      </w:r>
      <w:r w:rsidR="00952FE9">
        <w:t>,</w:t>
      </w:r>
      <w:r w:rsidR="00A026B1">
        <w:t xml:space="preserve"> </w:t>
      </w:r>
      <w:r w:rsidR="00952FE9">
        <w:t>because</w:t>
      </w:r>
      <w:r w:rsidR="00A026B1">
        <w:t xml:space="preserve"> demonstrating that “the community use is no longer required”</w:t>
      </w:r>
      <w:r w:rsidR="00952FE9">
        <w:t xml:space="preserve"> could </w:t>
      </w:r>
      <w:r w:rsidR="00EB4D66">
        <w:t>be problematic</w:t>
      </w:r>
      <w:r w:rsidR="00D47B17">
        <w:t>,</w:t>
      </w:r>
      <w:r w:rsidR="00EB4D66">
        <w:t xml:space="preserve"> and result in </w:t>
      </w:r>
      <w:r>
        <w:t>conflict</w:t>
      </w:r>
      <w:r w:rsidR="006C2D4A">
        <w:t xml:space="preserve"> </w:t>
      </w:r>
      <w:r w:rsidR="00EB4D66">
        <w:t>with</w:t>
      </w:r>
      <w:r w:rsidR="006C2D4A">
        <w:t xml:space="preserve"> Policy 17 of the City Plan</w:t>
      </w:r>
      <w:r w:rsidR="000A585E">
        <w:t>:</w:t>
      </w:r>
      <w:r w:rsidR="006C2D4A">
        <w:t xml:space="preserve"> Community infrastructure and facilities.  </w:t>
      </w:r>
      <w:r w:rsidR="004602FE">
        <w:t>Adding a reference in paragraph 2.4 to paragraph 17.1 of the Westminster City Plan</w:t>
      </w:r>
      <w:r w:rsidR="002F49B5">
        <w:t xml:space="preserve">, as proposed in the SOCG, </w:t>
      </w:r>
      <w:r w:rsidR="004602FE">
        <w:t xml:space="preserve">should </w:t>
      </w:r>
      <w:r w:rsidR="00276D85">
        <w:t xml:space="preserve">ensure general conformity with that </w:t>
      </w:r>
      <w:proofErr w:type="gramStart"/>
      <w:r w:rsidR="00276D85">
        <w:t>Plan</w:t>
      </w:r>
      <w:proofErr w:type="gramEnd"/>
      <w:r w:rsidR="00276D85">
        <w:t xml:space="preserve"> and </w:t>
      </w:r>
      <w:r w:rsidR="002F49B5">
        <w:t xml:space="preserve">assist </w:t>
      </w:r>
      <w:r w:rsidR="00276D85">
        <w:t>with</w:t>
      </w:r>
      <w:r w:rsidR="002F49B5">
        <w:t xml:space="preserve"> </w:t>
      </w:r>
      <w:r w:rsidR="00B27FD1">
        <w:t xml:space="preserve">the </w:t>
      </w:r>
      <w:r w:rsidR="002F49B5">
        <w:t>implementation</w:t>
      </w:r>
      <w:r w:rsidR="00276D85">
        <w:t xml:space="preserve"> of Policy 1</w:t>
      </w:r>
      <w:r w:rsidR="002F49B5">
        <w:t xml:space="preserve">.  In addition, </w:t>
      </w:r>
      <w:r w:rsidR="00EB4D66">
        <w:t xml:space="preserve">to provide more information as to the amenities which exist </w:t>
      </w:r>
      <w:r w:rsidR="00D47B17">
        <w:t>within</w:t>
      </w:r>
      <w:r w:rsidR="00EB4D66">
        <w:t xml:space="preserve"> Queen’s Park, </w:t>
      </w:r>
      <w:r w:rsidR="002F49B5">
        <w:t xml:space="preserve">a cross-reference to </w:t>
      </w:r>
      <w:r w:rsidR="00EB4D66">
        <w:t>maps and evidence data in Annex 1</w:t>
      </w:r>
      <w:r w:rsidR="002F49B5">
        <w:t xml:space="preserve"> should </w:t>
      </w:r>
      <w:r w:rsidR="00B27FD1">
        <w:t xml:space="preserve">be </w:t>
      </w:r>
      <w:r w:rsidR="00EB4D66">
        <w:t xml:space="preserve">included in the policy’s supporting text. </w:t>
      </w:r>
      <w:r w:rsidR="002F49B5">
        <w:t xml:space="preserve"> </w:t>
      </w:r>
      <w:r w:rsidR="002F49B5">
        <w:rPr>
          <w:b/>
        </w:rPr>
        <w:t>PM</w:t>
      </w:r>
      <w:r w:rsidR="00A759D5">
        <w:rPr>
          <w:b/>
        </w:rPr>
        <w:t>4</w:t>
      </w:r>
      <w:r w:rsidR="002F49B5">
        <w:t xml:space="preserve"> to modify paragraph 2.4 should be made</w:t>
      </w:r>
      <w:r w:rsidR="000A585E">
        <w:t>,</w:t>
      </w:r>
      <w:r w:rsidR="002F49B5">
        <w:t xml:space="preserve"> </w:t>
      </w:r>
      <w:r w:rsidR="00EB4D66">
        <w:t>to contribute to the achievement of sustainable development</w:t>
      </w:r>
      <w:r w:rsidR="002F49B5">
        <w:t xml:space="preserve">.  </w:t>
      </w:r>
      <w:r w:rsidR="00952FE9">
        <w:t>Government changes to the Use Classes Order</w:t>
      </w:r>
      <w:r w:rsidR="002C2B6A">
        <w:t>,</w:t>
      </w:r>
      <w:r w:rsidR="00952FE9">
        <w:t xml:space="preserve"> </w:t>
      </w:r>
      <w:r w:rsidR="002C2B6A">
        <w:t>with</w:t>
      </w:r>
      <w:r w:rsidR="00952FE9">
        <w:t xml:space="preserve"> the introduction of Class E</w:t>
      </w:r>
      <w:r w:rsidR="002C2B6A">
        <w:t xml:space="preserve"> in September 2020, </w:t>
      </w:r>
      <w:r w:rsidR="000A585E">
        <w:t>are likely to affect the extent to which existing local amenities can be protected.  The SOCG recognises this update through modifications to</w:t>
      </w:r>
      <w:r w:rsidR="00952FE9">
        <w:t xml:space="preserve"> paragraph 2.4 and the footnote</w:t>
      </w:r>
      <w:r w:rsidR="00EC7B72">
        <w:t>.</w:t>
      </w:r>
      <w:r w:rsidR="00952FE9">
        <w:rPr>
          <w:rStyle w:val="FootnoteReference"/>
        </w:rPr>
        <w:footnoteReference w:id="6"/>
      </w:r>
      <w:r w:rsidR="00952FE9">
        <w:t xml:space="preserve">  Also, the references to </w:t>
      </w:r>
      <w:r w:rsidR="009C0708">
        <w:t xml:space="preserve">the </w:t>
      </w:r>
      <w:r w:rsidR="00952FE9">
        <w:t xml:space="preserve">Westminster City Plan and the London Plan following Policy 1 </w:t>
      </w:r>
      <w:r w:rsidR="000A585E">
        <w:t xml:space="preserve">in the submitted Plan </w:t>
      </w:r>
      <w:r w:rsidR="00952FE9">
        <w:t xml:space="preserve">require updating.  The modifications put forward in the SOCG to Policy 1 and its justification should be made having regard for national planning policy and for general conformity with the strategic policies for WCC and London.  </w:t>
      </w:r>
    </w:p>
    <w:p w14:paraId="581233DB" w14:textId="77777777" w:rsidR="00DC79D6" w:rsidRDefault="00DC79D6" w:rsidP="00354872">
      <w:pPr>
        <w:jc w:val="left"/>
      </w:pPr>
    </w:p>
    <w:p w14:paraId="4D5C473A" w14:textId="0D4213E9" w:rsidR="00823F3F" w:rsidRDefault="00823F3F" w:rsidP="00354872">
      <w:pPr>
        <w:ind w:left="720" w:hanging="720"/>
        <w:jc w:val="left"/>
      </w:pPr>
      <w:r>
        <w:t>4.</w:t>
      </w:r>
      <w:r w:rsidR="00421411">
        <w:t>9</w:t>
      </w:r>
      <w:r>
        <w:t xml:space="preserve"> </w:t>
      </w:r>
      <w:r w:rsidR="00A17E69">
        <w:tab/>
      </w:r>
      <w:r>
        <w:t xml:space="preserve">Policies 2, 3, 4, 6, 7, 8, 9 and 10 also include links to relevant strategic policies, which require modification now that the new London Plan and City Plan have been adopted.  Modifications </w:t>
      </w:r>
      <w:r w:rsidR="000A585E">
        <w:t>to the links</w:t>
      </w:r>
      <w:r w:rsidR="00D47B17">
        <w:t>,</w:t>
      </w:r>
      <w:r w:rsidR="000A585E">
        <w:t xml:space="preserve"> </w:t>
      </w:r>
      <w:r>
        <w:t>as shown in the SOCG</w:t>
      </w:r>
      <w:r w:rsidR="00D47B17">
        <w:t>,</w:t>
      </w:r>
      <w:r>
        <w:t xml:space="preserve"> should be made to secure general conformity with these Plans.</w:t>
      </w:r>
    </w:p>
    <w:p w14:paraId="682560C6" w14:textId="77777777" w:rsidR="000D6743" w:rsidRDefault="000D6743" w:rsidP="00354872">
      <w:pPr>
        <w:jc w:val="left"/>
      </w:pPr>
    </w:p>
    <w:p w14:paraId="474AFFF6" w14:textId="4158CDD0" w:rsidR="00C024D8" w:rsidRDefault="000D6743" w:rsidP="00354872">
      <w:pPr>
        <w:ind w:left="720" w:hanging="720"/>
        <w:jc w:val="left"/>
      </w:pPr>
      <w:r>
        <w:t>4.</w:t>
      </w:r>
      <w:r w:rsidR="00421411">
        <w:t>10</w:t>
      </w:r>
      <w:r>
        <w:t xml:space="preserve"> </w:t>
      </w:r>
      <w:r w:rsidR="00A17E69">
        <w:tab/>
      </w:r>
      <w:r>
        <w:t xml:space="preserve">Section 3 of the QPNP: Development Projects describes five potential </w:t>
      </w:r>
      <w:r w:rsidR="00352ECE">
        <w:t xml:space="preserve">groups of </w:t>
      </w:r>
      <w:r>
        <w:t xml:space="preserve">projects which QPCC will pursue and for which it will seek funding.  I agree that these projects should be distinguished from the planning policies in the Plan, but consider that the first sentence on Page 34 stating “This section is not part of the statutory </w:t>
      </w:r>
      <w:r w:rsidR="00B16DD0">
        <w:t>N</w:t>
      </w:r>
      <w:r>
        <w:t xml:space="preserve">eighbourhood </w:t>
      </w:r>
      <w:r w:rsidR="00B16DD0">
        <w:t>P</w:t>
      </w:r>
      <w:r>
        <w:t xml:space="preserve">lan...” </w:t>
      </w:r>
      <w:r w:rsidR="00D47B17">
        <w:t>could be</w:t>
      </w:r>
      <w:r>
        <w:t xml:space="preserve"> misleading.  I propose that </w:t>
      </w:r>
      <w:r>
        <w:rPr>
          <w:b/>
        </w:rPr>
        <w:t>PM</w:t>
      </w:r>
      <w:r w:rsidR="00A759D5">
        <w:rPr>
          <w:b/>
        </w:rPr>
        <w:t>9</w:t>
      </w:r>
      <w:r>
        <w:rPr>
          <w:b/>
        </w:rPr>
        <w:t xml:space="preserve"> </w:t>
      </w:r>
      <w:r>
        <w:t xml:space="preserve">is made to clarify that the projects are separate from the planning policies in section 2, but are supported </w:t>
      </w:r>
      <w:r w:rsidR="00786AF4">
        <w:t xml:space="preserve">by QPCC </w:t>
      </w:r>
      <w:r>
        <w:t xml:space="preserve">as </w:t>
      </w:r>
      <w:r w:rsidR="00786AF4">
        <w:t xml:space="preserve">it considers that </w:t>
      </w:r>
      <w:r>
        <w:t xml:space="preserve">their delivery would help achieve the vision and objectives of the </w:t>
      </w:r>
      <w:r w:rsidR="00C024D8">
        <w:t>QPNP.</w:t>
      </w:r>
      <w:r w:rsidR="00421411">
        <w:t xml:space="preserve">  PM</w:t>
      </w:r>
      <w:r w:rsidR="00734A57">
        <w:t>9</w:t>
      </w:r>
      <w:r w:rsidR="00421411">
        <w:t xml:space="preserve"> should be made having regard for national planning policy.</w:t>
      </w:r>
    </w:p>
    <w:p w14:paraId="1880A424" w14:textId="77777777" w:rsidR="003F1207" w:rsidRDefault="003F1207" w:rsidP="00354872">
      <w:pPr>
        <w:ind w:left="720" w:hanging="720"/>
        <w:jc w:val="left"/>
      </w:pPr>
    </w:p>
    <w:p w14:paraId="234A5EB4" w14:textId="7DC592B3" w:rsidR="00C024D8" w:rsidRDefault="00C024D8" w:rsidP="00354872">
      <w:pPr>
        <w:ind w:left="720" w:hanging="720"/>
        <w:jc w:val="left"/>
      </w:pPr>
      <w:r>
        <w:t>4.1</w:t>
      </w:r>
      <w:r w:rsidR="00D41E91">
        <w:t>1</w:t>
      </w:r>
      <w:r>
        <w:t xml:space="preserve"> </w:t>
      </w:r>
      <w:r w:rsidR="00A17E69">
        <w:tab/>
      </w:r>
      <w:r>
        <w:t xml:space="preserve">WCC </w:t>
      </w:r>
      <w:r w:rsidR="00D47B17">
        <w:t xml:space="preserve">questioned </w:t>
      </w:r>
      <w:r w:rsidR="00DE1A14">
        <w:t>at Regulation 16 consultation stage whether</w:t>
      </w:r>
      <w:r>
        <w:t xml:space="preserve"> Policy 5: Queen’s Park Gardens Hut </w:t>
      </w:r>
      <w:r w:rsidR="00D47B17">
        <w:t>was in general conformity with the City Plan.</w:t>
      </w:r>
      <w:r w:rsidR="00DE1A14">
        <w:t xml:space="preserve">  It contended that it</w:t>
      </w:r>
      <w:r w:rsidR="00D47B17">
        <w:t xml:space="preserve"> </w:t>
      </w:r>
      <w:r>
        <w:t xml:space="preserve">would sit more comfortably in the Projects section of the Plan.  As the policy concerns details of the future use of the existing building and yard rather than </w:t>
      </w:r>
      <w:r w:rsidR="00DE1A14">
        <w:t xml:space="preserve">major </w:t>
      </w:r>
      <w:r>
        <w:t xml:space="preserve">new development, I support this approach.  The SOCG </w:t>
      </w:r>
      <w:r w:rsidR="006B2084">
        <w:t xml:space="preserve">proposes that the policy be </w:t>
      </w:r>
      <w:proofErr w:type="gramStart"/>
      <w:r w:rsidR="006B2084">
        <w:t>deleted</w:t>
      </w:r>
      <w:proofErr w:type="gramEnd"/>
      <w:r w:rsidR="006B2084">
        <w:t xml:space="preserve"> and the content of the section moved to “Projects”.  I agree that the section should be added as Project 2.10</w:t>
      </w:r>
      <w:r w:rsidR="00536842">
        <w:t>.</w:t>
      </w:r>
      <w:r w:rsidR="006B2084">
        <w:t xml:space="preserve">  </w:t>
      </w:r>
      <w:r w:rsidR="00DE1A14">
        <w:t>Also</w:t>
      </w:r>
      <w:r w:rsidR="00536842">
        <w:t xml:space="preserve">, I agree that </w:t>
      </w:r>
      <w:r w:rsidR="006B2084">
        <w:t xml:space="preserve">paragraph 2.16 </w:t>
      </w:r>
      <w:r w:rsidR="00536842">
        <w:t xml:space="preserve">and the outdated “Links to strategic policies” </w:t>
      </w:r>
      <w:r w:rsidR="006B2084">
        <w:t>should be deleted</w:t>
      </w:r>
      <w:r w:rsidR="007072E6">
        <w:t>, as proposed in the SOCG</w:t>
      </w:r>
      <w:r w:rsidR="006B2084">
        <w:t xml:space="preserve">.    </w:t>
      </w:r>
      <w:r>
        <w:t xml:space="preserve">   </w:t>
      </w:r>
    </w:p>
    <w:p w14:paraId="771FED2A" w14:textId="77777777" w:rsidR="00352ECE" w:rsidRDefault="00352ECE" w:rsidP="00354872">
      <w:pPr>
        <w:jc w:val="left"/>
      </w:pPr>
    </w:p>
    <w:p w14:paraId="1EDA52EE" w14:textId="1BC55EBF" w:rsidR="00352ECE" w:rsidRDefault="00352ECE" w:rsidP="00354872">
      <w:pPr>
        <w:ind w:left="720" w:hanging="720"/>
        <w:jc w:val="left"/>
      </w:pPr>
      <w:r>
        <w:t>4.1</w:t>
      </w:r>
      <w:r w:rsidR="00D41E91">
        <w:t>2</w:t>
      </w:r>
      <w:r>
        <w:t xml:space="preserve"> </w:t>
      </w:r>
      <w:r w:rsidR="00A17E69">
        <w:tab/>
      </w:r>
      <w:r>
        <w:t xml:space="preserve">At the beginning of Annex 1: Neighbourhood Plan Evidence Base, it is </w:t>
      </w:r>
      <w:r w:rsidR="00DE1A14">
        <w:t>stated</w:t>
      </w:r>
      <w:r>
        <w:t xml:space="preserve"> that this does not form part of the statutory </w:t>
      </w:r>
      <w:r w:rsidR="00B16DD0">
        <w:t>N</w:t>
      </w:r>
      <w:r>
        <w:t xml:space="preserve">eighbourhood </w:t>
      </w:r>
      <w:r w:rsidR="00B16DD0">
        <w:t>P</w:t>
      </w:r>
      <w:r>
        <w:t>lan.  Nevertheless, its inclusion, along with Annex 2: Retail and Queen’s Park High Street, at the end of the document</w:t>
      </w:r>
      <w:r w:rsidR="006A3FAD">
        <w:t>,</w:t>
      </w:r>
      <w:r>
        <w:t xml:space="preserve"> provide helpful ba</w:t>
      </w:r>
      <w:r w:rsidR="006A3FAD">
        <w:t xml:space="preserve">ckground information </w:t>
      </w:r>
      <w:r w:rsidR="00DE1A14">
        <w:t xml:space="preserve">which has been </w:t>
      </w:r>
      <w:r w:rsidR="006A3FAD">
        <w:t>used to shape and prepare the QPNP</w:t>
      </w:r>
      <w:r>
        <w:t>.</w:t>
      </w:r>
      <w:r w:rsidR="006A3FAD">
        <w:t xml:space="preserve">  I </w:t>
      </w:r>
      <w:r w:rsidR="00DE1A14">
        <w:t xml:space="preserve">support this statement and </w:t>
      </w:r>
      <w:r w:rsidR="006A3FAD">
        <w:t xml:space="preserve">make no comment on the </w:t>
      </w:r>
      <w:r w:rsidR="00DE1A14">
        <w:t>details</w:t>
      </w:r>
      <w:r w:rsidR="006A3FAD">
        <w:t xml:space="preserve"> of background evidence within these annexes. </w:t>
      </w:r>
      <w:r>
        <w:t xml:space="preserve"> Providing </w:t>
      </w:r>
      <w:r w:rsidR="006A3FAD">
        <w:t xml:space="preserve">all </w:t>
      </w:r>
      <w:r>
        <w:t>the modifications described above are made, I conclude that in general terms</w:t>
      </w:r>
      <w:r w:rsidR="008C6113">
        <w:t xml:space="preserve">, the QPNP is clearly structured and </w:t>
      </w:r>
      <w:r w:rsidR="00DE1A14">
        <w:t>present</w:t>
      </w:r>
      <w:r w:rsidR="008C6113">
        <w:t>ed, and meets the Basic Conditions for neighbourhood planning.</w:t>
      </w:r>
    </w:p>
    <w:p w14:paraId="38AC32E1" w14:textId="77777777" w:rsidR="008C6113" w:rsidRDefault="008C6113" w:rsidP="00354872">
      <w:pPr>
        <w:jc w:val="left"/>
      </w:pPr>
    </w:p>
    <w:p w14:paraId="4128A0FA" w14:textId="119BBAB9" w:rsidR="008C6113" w:rsidRPr="008C6113" w:rsidRDefault="008C6113" w:rsidP="00354872">
      <w:pPr>
        <w:jc w:val="left"/>
        <w:rPr>
          <w:i/>
        </w:rPr>
      </w:pPr>
      <w:r w:rsidRPr="008C6113">
        <w:rPr>
          <w:i/>
        </w:rPr>
        <w:t xml:space="preserve">Specific </w:t>
      </w:r>
      <w:r w:rsidR="00B05551">
        <w:rPr>
          <w:i/>
        </w:rPr>
        <w:t>I</w:t>
      </w:r>
      <w:r w:rsidRPr="008C6113">
        <w:rPr>
          <w:i/>
        </w:rPr>
        <w:t xml:space="preserve">ssues of </w:t>
      </w:r>
      <w:r w:rsidR="00B05551">
        <w:rPr>
          <w:i/>
        </w:rPr>
        <w:t>C</w:t>
      </w:r>
      <w:r w:rsidRPr="008C6113">
        <w:rPr>
          <w:i/>
        </w:rPr>
        <w:t xml:space="preserve">ompliance of the Plan’s </w:t>
      </w:r>
      <w:r w:rsidR="00C81AE9">
        <w:rPr>
          <w:i/>
        </w:rPr>
        <w:t>P</w:t>
      </w:r>
      <w:r w:rsidRPr="008C6113">
        <w:rPr>
          <w:i/>
        </w:rPr>
        <w:t>olicies</w:t>
      </w:r>
    </w:p>
    <w:p w14:paraId="4EB47C59" w14:textId="77777777" w:rsidR="008C6113" w:rsidRDefault="008C6113" w:rsidP="00354872">
      <w:pPr>
        <w:jc w:val="left"/>
        <w:rPr>
          <w:b/>
        </w:rPr>
      </w:pPr>
    </w:p>
    <w:p w14:paraId="7D1340E3" w14:textId="08075A30" w:rsidR="00175A1D" w:rsidRDefault="006A3FAD" w:rsidP="00354872">
      <w:pPr>
        <w:ind w:left="720" w:hanging="720"/>
        <w:jc w:val="left"/>
      </w:pPr>
      <w:r>
        <w:t>4.13</w:t>
      </w:r>
      <w:r w:rsidR="008C6113">
        <w:t xml:space="preserve"> </w:t>
      </w:r>
      <w:r w:rsidR="00A17E69">
        <w:tab/>
      </w:r>
      <w:r w:rsidR="00DC1D70">
        <w:t>As WCC observed, the summary of character areas in paragraph 1.3 conflicts with those defined in Policy 6.</w:t>
      </w:r>
      <w:r w:rsidR="00DC79D6">
        <w:t xml:space="preserve">  I agree that </w:t>
      </w:r>
      <w:r w:rsidR="00773A81">
        <w:t xml:space="preserve">the modifications included in the SOCG should be made so that </w:t>
      </w:r>
      <w:r w:rsidR="00DC79D6">
        <w:t xml:space="preserve">the Canal Terrace </w:t>
      </w:r>
      <w:r w:rsidR="00773A81">
        <w:t>is</w:t>
      </w:r>
      <w:r w:rsidR="00DC79D6">
        <w:t xml:space="preserve"> </w:t>
      </w:r>
      <w:r w:rsidR="00773A81">
        <w:t>nam</w:t>
      </w:r>
      <w:r w:rsidR="00DC79D6">
        <w:t xml:space="preserve">ed as a distinctive character area, and a reference to “Edwardian” terraced housing (as built 1901-10) </w:t>
      </w:r>
      <w:r w:rsidR="00773A81">
        <w:t>i</w:t>
      </w:r>
      <w:r w:rsidR="00DC79D6">
        <w:t>s added.</w:t>
      </w:r>
      <w:r w:rsidR="00DC1D70">
        <w:t xml:space="preserve"> </w:t>
      </w:r>
      <w:r w:rsidR="00342F88">
        <w:t xml:space="preserve"> </w:t>
      </w:r>
      <w:r w:rsidR="00773A81">
        <w:t xml:space="preserve">In addition, </w:t>
      </w:r>
      <w:r>
        <w:t xml:space="preserve">modification </w:t>
      </w:r>
      <w:r w:rsidR="00773A81">
        <w:t xml:space="preserve">should be made to </w:t>
      </w:r>
      <w:r w:rsidR="00EA07A8">
        <w:t>paragraph 1.3</w:t>
      </w:r>
      <w:r>
        <w:t>, as in</w:t>
      </w:r>
      <w:r w:rsidR="00EA07A8">
        <w:t xml:space="preserve"> </w:t>
      </w:r>
      <w:r w:rsidRPr="007072E6">
        <w:rPr>
          <w:b/>
        </w:rPr>
        <w:t>PM</w:t>
      </w:r>
      <w:r w:rsidR="00A759D5">
        <w:rPr>
          <w:b/>
        </w:rPr>
        <w:t>2</w:t>
      </w:r>
      <w:r>
        <w:t xml:space="preserve">, to state </w:t>
      </w:r>
      <w:r w:rsidR="00773A81" w:rsidRPr="006A3FAD">
        <w:t>that</w:t>
      </w:r>
      <w:r w:rsidR="00773A81">
        <w:t xml:space="preserve"> five, not four, character areas have been identified.  The SOCG also proposes modifications to paragraph 1.4 to delete the </w:t>
      </w:r>
      <w:r w:rsidR="00B96E67">
        <w:t xml:space="preserve">reference to an unspecified “consultation document”, and to paragraph 1.5, to describe more directly the opportunity for consultation with local people which neighbourhood planning brings.  Modifications to paragraphs 1.7 and 1.9 put forward in the SOCG provide less </w:t>
      </w:r>
      <w:r w:rsidR="00EC7B72">
        <w:t xml:space="preserve">narrative about </w:t>
      </w:r>
      <w:r w:rsidR="00B96E67">
        <w:t xml:space="preserve">the new </w:t>
      </w:r>
      <w:proofErr w:type="spellStart"/>
      <w:r w:rsidR="00B96E67">
        <w:t>Moberley</w:t>
      </w:r>
      <w:proofErr w:type="spellEnd"/>
      <w:r w:rsidR="00B96E67">
        <w:t xml:space="preserve"> sports centre, which is outside the QPNP area, and give upd</w:t>
      </w:r>
      <w:r w:rsidR="00175A1D">
        <w:t xml:space="preserve">ated and more positive information on planned improvements to Harrow Road.  I support these modifications to provide an up-to-date and clear account as to “Why Queen’s Park needs a </w:t>
      </w:r>
      <w:r w:rsidR="00B16DD0">
        <w:t>n</w:t>
      </w:r>
      <w:r w:rsidR="00175A1D">
        <w:t>eighbourhood plan”</w:t>
      </w:r>
      <w:r>
        <w:t xml:space="preserve">, and </w:t>
      </w:r>
      <w:r w:rsidR="001F2507">
        <w:t xml:space="preserve">to </w:t>
      </w:r>
      <w:r>
        <w:t>contribute to the achievement of sustainable development</w:t>
      </w:r>
      <w:r w:rsidR="00175A1D">
        <w:t>.</w:t>
      </w:r>
    </w:p>
    <w:p w14:paraId="66AD4D82" w14:textId="77777777" w:rsidR="00175A1D" w:rsidRDefault="00175A1D" w:rsidP="00354872">
      <w:pPr>
        <w:jc w:val="left"/>
      </w:pPr>
    </w:p>
    <w:p w14:paraId="2183569C" w14:textId="1D1B9172" w:rsidR="00D56BCA" w:rsidRDefault="006A3FAD" w:rsidP="00354872">
      <w:pPr>
        <w:ind w:left="720" w:hanging="720"/>
        <w:jc w:val="left"/>
      </w:pPr>
      <w:r>
        <w:t>4.14</w:t>
      </w:r>
      <w:r w:rsidR="00175A1D">
        <w:t xml:space="preserve"> </w:t>
      </w:r>
      <w:r w:rsidR="00A17E69">
        <w:tab/>
      </w:r>
      <w:r w:rsidR="00175A1D">
        <w:t>The SOCG includes modifications to paragraphs 1.20 and 1.21</w:t>
      </w:r>
      <w:r w:rsidR="00EC7B72">
        <w:t>,</w:t>
      </w:r>
      <w:r w:rsidR="00175A1D">
        <w:t xml:space="preserve"> which refer to the Community Infrastructure Levy (CIL) schedule adopted by WCC</w:t>
      </w:r>
      <w:r w:rsidR="00F76C63">
        <w:t xml:space="preserve">.  The modifications clarify the role of QPCC in respect of CIL funding and should be made so that regard is </w:t>
      </w:r>
      <w:proofErr w:type="spellStart"/>
      <w:r w:rsidR="00F76C63">
        <w:t>had</w:t>
      </w:r>
      <w:proofErr w:type="spellEnd"/>
      <w:r w:rsidR="00F76C63">
        <w:t xml:space="preserve"> for national planning policy.  Also, </w:t>
      </w:r>
      <w:r w:rsidR="00D56BCA">
        <w:t xml:space="preserve">I consider that </w:t>
      </w:r>
      <w:r w:rsidR="00F76C63">
        <w:t>the maps on Pages 10 and 11 should be modified as described in the SOCG so that they are in general conformity with the City Plan.</w:t>
      </w:r>
      <w:r w:rsidR="00175A1D">
        <w:t xml:space="preserve"> </w:t>
      </w:r>
    </w:p>
    <w:p w14:paraId="469E651B" w14:textId="77777777" w:rsidR="00D56BCA" w:rsidRDefault="00D56BCA" w:rsidP="00354872">
      <w:pPr>
        <w:jc w:val="left"/>
      </w:pPr>
    </w:p>
    <w:p w14:paraId="45998CC2" w14:textId="5F2FA063" w:rsidR="00146A8F" w:rsidRDefault="00D56BCA" w:rsidP="00354872">
      <w:pPr>
        <w:ind w:left="720" w:hanging="720"/>
        <w:jc w:val="left"/>
      </w:pPr>
      <w:r>
        <w:t>4.1</w:t>
      </w:r>
      <w:r w:rsidR="007072E6">
        <w:t>5</w:t>
      </w:r>
      <w:r>
        <w:t xml:space="preserve"> </w:t>
      </w:r>
      <w:r w:rsidR="00A17E69">
        <w:tab/>
      </w:r>
      <w:r>
        <w:t xml:space="preserve">Policy 2: Queen’s Park Hall aims to support its use as a community hall, and the </w:t>
      </w:r>
      <w:r w:rsidR="00453722">
        <w:t>justification text</w:t>
      </w:r>
      <w:r>
        <w:t xml:space="preserve"> observes that this is a Grade II listed building.  Although it was designated as an Asset of Community Value in 2016, WCC pointed out that this designation f</w:t>
      </w:r>
      <w:r w:rsidR="001F2507">
        <w:t xml:space="preserve">alls under separate legislation </w:t>
      </w:r>
      <w:r>
        <w:t xml:space="preserve">and cannot be controlled through planning policy.  The SOCG includes modified wording for Policy 2 which I support, as it should ensure that regard is </w:t>
      </w:r>
      <w:proofErr w:type="spellStart"/>
      <w:r>
        <w:t>had</w:t>
      </w:r>
      <w:proofErr w:type="spellEnd"/>
      <w:r>
        <w:t xml:space="preserve"> for national planning policy.</w:t>
      </w:r>
      <w:r w:rsidR="00B96E67">
        <w:t xml:space="preserve">  </w:t>
      </w:r>
    </w:p>
    <w:p w14:paraId="2EB9C10D" w14:textId="77777777" w:rsidR="00453722" w:rsidRDefault="00453722" w:rsidP="00354872">
      <w:pPr>
        <w:jc w:val="left"/>
      </w:pPr>
    </w:p>
    <w:p w14:paraId="272FC9A5" w14:textId="2320C4EB" w:rsidR="00C415C4" w:rsidRDefault="00453722" w:rsidP="00354872">
      <w:pPr>
        <w:ind w:left="720" w:hanging="720"/>
        <w:jc w:val="left"/>
      </w:pPr>
      <w:r>
        <w:t>4.1</w:t>
      </w:r>
      <w:r w:rsidR="007072E6">
        <w:t>6</w:t>
      </w:r>
      <w:r>
        <w:t xml:space="preserve"> </w:t>
      </w:r>
      <w:r w:rsidR="00A17E69">
        <w:tab/>
      </w:r>
      <w:r>
        <w:t>Paragraph 2.8 states that there are few green spaces within the Queen’s Park area.  Apart from Queen’s Park Gardens and Harrow Road</w:t>
      </w:r>
      <w:r w:rsidR="00613C36">
        <w:t xml:space="preserve"> Open Space,</w:t>
      </w:r>
      <w:r>
        <w:t xml:space="preserve"> north of the Grand Union Canal, I saw at my site visit that communal open space is in short supply.  I appreciate the importance of domestic gardens </w:t>
      </w:r>
      <w:r w:rsidR="00C415C4">
        <w:t xml:space="preserve">in providing areas for </w:t>
      </w:r>
      <w:r w:rsidR="00703466">
        <w:t xml:space="preserve">leisure use or </w:t>
      </w:r>
      <w:r w:rsidR="00C415C4">
        <w:t xml:space="preserve">children’s play, </w:t>
      </w:r>
      <w:r w:rsidR="00F02067">
        <w:t xml:space="preserve">as well as </w:t>
      </w:r>
      <w:r w:rsidR="00557990">
        <w:t>privacy/</w:t>
      </w:r>
      <w:r w:rsidR="00703466">
        <w:t>separation from neighbours,</w:t>
      </w:r>
      <w:r w:rsidR="00C415C4">
        <w:t xml:space="preserve"> and </w:t>
      </w:r>
      <w:r w:rsidR="00F02067">
        <w:t xml:space="preserve">places for </w:t>
      </w:r>
      <w:r w:rsidR="00C415C4">
        <w:t>biodiversity</w:t>
      </w:r>
      <w:r w:rsidR="00703466">
        <w:t>,</w:t>
      </w:r>
      <w:r w:rsidR="00C415C4">
        <w:t xml:space="preserve"> </w:t>
      </w:r>
      <w:r>
        <w:t xml:space="preserve">in this predominantly residential area.  </w:t>
      </w:r>
      <w:r w:rsidR="009C65C7">
        <w:t xml:space="preserve">Paragraph 2.10 states that the local community wishes to encourage more greening and living street projects.  Nevertheless, WCC argued that Policy 3: Residential gardens is too onerous and does not have regard for national planning policy, as permitted development rights </w:t>
      </w:r>
      <w:r w:rsidR="00195B0B">
        <w:t>give</w:t>
      </w:r>
      <w:r w:rsidR="009C65C7">
        <w:t xml:space="preserve"> residents powers to extend their properties</w:t>
      </w:r>
      <w:r w:rsidR="00703466">
        <w:t xml:space="preserve"> and build in gardens</w:t>
      </w:r>
      <w:r w:rsidR="009C65C7">
        <w:t xml:space="preserve">.  QPCC proposed to modify the policy </w:t>
      </w:r>
      <w:proofErr w:type="gramStart"/>
      <w:r w:rsidR="009C65C7">
        <w:t>so as to</w:t>
      </w:r>
      <w:proofErr w:type="gramEnd"/>
      <w:r w:rsidR="009C65C7">
        <w:t xml:space="preserve"> resist development which </w:t>
      </w:r>
      <w:r w:rsidR="00C415C4">
        <w:t xml:space="preserve">would </w:t>
      </w:r>
      <w:r w:rsidR="009C65C7">
        <w:t>result in</w:t>
      </w:r>
      <w:r w:rsidR="00F02067">
        <w:t xml:space="preserve"> the</w:t>
      </w:r>
      <w:r w:rsidR="009C65C7">
        <w:t xml:space="preserve"> </w:t>
      </w:r>
      <w:r w:rsidR="009C65C7">
        <w:rPr>
          <w:u w:val="single"/>
        </w:rPr>
        <w:t>significant</w:t>
      </w:r>
      <w:r w:rsidR="009C65C7">
        <w:t xml:space="preserve"> loss of residential gardens.  This was welcomed by WCC, but perceived to be insufficient, as case officers would face difficult decisions balancing </w:t>
      </w:r>
      <w:r w:rsidR="00C77418">
        <w:t xml:space="preserve">the rights of occupiers to extend their properties with negative impacts </w:t>
      </w:r>
      <w:r w:rsidR="00557990">
        <w:t>i</w:t>
      </w:r>
      <w:r w:rsidR="00C77418">
        <w:t>n</w:t>
      </w:r>
      <w:r w:rsidR="00557990">
        <w:t xml:space="preserve"> terms of </w:t>
      </w:r>
      <w:r w:rsidR="007072E6">
        <w:t xml:space="preserve">matters such as </w:t>
      </w:r>
      <w:r w:rsidR="00C77418">
        <w:t>local character and biodiversity.</w:t>
      </w:r>
      <w:r w:rsidR="009C65C7">
        <w:t xml:space="preserve"> </w:t>
      </w:r>
    </w:p>
    <w:p w14:paraId="6F578213" w14:textId="77777777" w:rsidR="00C415C4" w:rsidRDefault="00C415C4" w:rsidP="00354872">
      <w:pPr>
        <w:jc w:val="left"/>
      </w:pPr>
    </w:p>
    <w:p w14:paraId="0B260984" w14:textId="357B3D41" w:rsidR="00453722" w:rsidRDefault="00C415C4" w:rsidP="00354872">
      <w:pPr>
        <w:ind w:left="720" w:hanging="720"/>
        <w:jc w:val="left"/>
      </w:pPr>
      <w:r>
        <w:t>4.1</w:t>
      </w:r>
      <w:r w:rsidR="007072E6">
        <w:t>7</w:t>
      </w:r>
      <w:r>
        <w:t xml:space="preserve"> </w:t>
      </w:r>
      <w:r w:rsidR="00A17E69">
        <w:tab/>
      </w:r>
      <w:r w:rsidR="00B446FC">
        <w:t xml:space="preserve">In the Westminster City Plan, </w:t>
      </w:r>
      <w:r>
        <w:t>Policy 34: Green Infrastructure seeks to protect community open spaces and encourage more greening.  A significant part of the QPNP area is designated as a conservation area, where City Plan Policy 39: Westminster’s heritage should provide some protection to existing gardens.  Policy 40: Townscape and architecture refers to alterations and extensions and requires sensitive design in new development.</w:t>
      </w:r>
      <w:r w:rsidR="0089015C">
        <w:t xml:space="preserve">  </w:t>
      </w:r>
      <w:r w:rsidR="00B446FC">
        <w:t xml:space="preserve">The above </w:t>
      </w:r>
      <w:r w:rsidR="007072E6">
        <w:t xml:space="preserve">City Plan </w:t>
      </w:r>
      <w:r w:rsidR="00B446FC">
        <w:t xml:space="preserve">policies should protect Queen’s Park against </w:t>
      </w:r>
      <w:r w:rsidR="00F02067">
        <w:t>significant</w:t>
      </w:r>
      <w:r w:rsidR="00B446FC">
        <w:t xml:space="preserve"> loss of its residential gardens.  </w:t>
      </w:r>
      <w:r w:rsidR="0089015C">
        <w:t xml:space="preserve">However, I recognise the </w:t>
      </w:r>
      <w:proofErr w:type="gramStart"/>
      <w:r w:rsidR="0089015C">
        <w:t>particular importance</w:t>
      </w:r>
      <w:proofErr w:type="gramEnd"/>
      <w:r w:rsidR="0089015C">
        <w:t xml:space="preserve"> of private garden space to local wellbeing and the environment of Queen’s Park, and propose to retain Policy 3, with the modified wording put forward in </w:t>
      </w:r>
      <w:r w:rsidR="0089015C">
        <w:rPr>
          <w:b/>
        </w:rPr>
        <w:t>PM</w:t>
      </w:r>
      <w:r w:rsidR="00A759D5">
        <w:rPr>
          <w:b/>
        </w:rPr>
        <w:t>5</w:t>
      </w:r>
      <w:r w:rsidR="0089015C">
        <w:t xml:space="preserve">.  Case officers commonly </w:t>
      </w:r>
      <w:proofErr w:type="gramStart"/>
      <w:r w:rsidR="0089015C">
        <w:t>have to</w:t>
      </w:r>
      <w:proofErr w:type="gramEnd"/>
      <w:r w:rsidR="0089015C">
        <w:t xml:space="preserve"> weigh up the positive and negative impacts of development proposals.  The modified wording should assist them in their role and ensure that Policy 3 contributes to the achievement of sustainable development.</w:t>
      </w:r>
      <w:r w:rsidR="00A54F99">
        <w:t xml:space="preserve">  In addition, the cross-reference to the evidence base in paragraph 2.8 should be modified to refer to Annex 1, pages 66-71, rather than Appendix A, for accuracy and to assist readers. </w:t>
      </w:r>
      <w:r>
        <w:t xml:space="preserve"> </w:t>
      </w:r>
    </w:p>
    <w:p w14:paraId="4D47D51C" w14:textId="77777777" w:rsidR="0090616C" w:rsidRDefault="0090616C" w:rsidP="00354872">
      <w:pPr>
        <w:jc w:val="left"/>
      </w:pPr>
    </w:p>
    <w:p w14:paraId="57C769F0" w14:textId="364BE05A" w:rsidR="009F48A7" w:rsidRDefault="0090616C" w:rsidP="00354872">
      <w:pPr>
        <w:ind w:left="720" w:hanging="720"/>
        <w:jc w:val="left"/>
      </w:pPr>
      <w:r>
        <w:t>4.1</w:t>
      </w:r>
      <w:r w:rsidR="007072E6">
        <w:t>8</w:t>
      </w:r>
      <w:r>
        <w:t xml:space="preserve"> </w:t>
      </w:r>
      <w:r w:rsidR="00A17E69">
        <w:tab/>
      </w:r>
      <w:r w:rsidR="002663E1">
        <w:t xml:space="preserve">The QPNP </w:t>
      </w:r>
      <w:r w:rsidR="00BA6825">
        <w:t xml:space="preserve">Policy 4: Allotments </w:t>
      </w:r>
      <w:r w:rsidR="002663E1">
        <w:t xml:space="preserve">is intended to safeguard existing community garden projects at Harrington Court and </w:t>
      </w:r>
      <w:proofErr w:type="spellStart"/>
      <w:r w:rsidR="002663E1">
        <w:t>Leeve</w:t>
      </w:r>
      <w:proofErr w:type="spellEnd"/>
      <w:r w:rsidR="002663E1">
        <w:t xml:space="preserve"> House and encourage new development of these facilities.  WCC commented that the policy required some clarification as to where exactly </w:t>
      </w:r>
      <w:r w:rsidR="00B446FC">
        <w:t>any</w:t>
      </w:r>
      <w:r w:rsidR="002663E1">
        <w:t xml:space="preserve"> allotments were located, and </w:t>
      </w:r>
      <w:r w:rsidR="000109EB">
        <w:t>what circumstances would constitute</w:t>
      </w:r>
      <w:r w:rsidR="002663E1">
        <w:t xml:space="preserve"> </w:t>
      </w:r>
      <w:r w:rsidR="000109EB">
        <w:t>‘harm’.  The SOCG contains a modified policy, addressing Community Food Growing rather than Allotments.  The justification in paragraphs 2.13 and 2.14 would also be modified to explain exactly where the existing facilities are situated and to describe potential harm.  I support the modified Policy 4 as shown in the SOCG, as this should contribute to sustainable development.</w:t>
      </w:r>
    </w:p>
    <w:p w14:paraId="3BB33E89" w14:textId="77777777" w:rsidR="00F233B5" w:rsidRDefault="00F233B5" w:rsidP="00354872">
      <w:pPr>
        <w:ind w:left="720" w:hanging="720"/>
        <w:jc w:val="left"/>
      </w:pPr>
    </w:p>
    <w:p w14:paraId="37DA65B7" w14:textId="52C070C6" w:rsidR="0090616C" w:rsidRDefault="00613C36" w:rsidP="00354872">
      <w:pPr>
        <w:ind w:left="720" w:hanging="720"/>
        <w:jc w:val="left"/>
      </w:pPr>
      <w:r>
        <w:t>4</w:t>
      </w:r>
      <w:r w:rsidR="00CB7292">
        <w:t>.19</w:t>
      </w:r>
      <w:r w:rsidR="009F48A7">
        <w:t xml:space="preserve"> </w:t>
      </w:r>
      <w:r w:rsidR="00A17E69">
        <w:tab/>
      </w:r>
      <w:r w:rsidR="009F48A7">
        <w:t>Policy 6</w:t>
      </w:r>
      <w:r>
        <w:t>: Design addresses heritage, design quality and sustainability</w:t>
      </w:r>
      <w:r w:rsidR="00EA07A8">
        <w:t>, all of which are important issues for Queen’s Park and its community.  The conflict between paragraph 1.3 and Policy 6 over the definition of character areas has already been discussed (see paragraph 4.1</w:t>
      </w:r>
      <w:r w:rsidR="007072E6">
        <w:t>3</w:t>
      </w:r>
      <w:r w:rsidR="00EA07A8">
        <w:t xml:space="preserve">).  Uncertainty as to the definition of character areas and their evidence bases continues in paragraphs 2.21 to 2.24.  The </w:t>
      </w:r>
      <w:r w:rsidR="00B446FC">
        <w:t xml:space="preserve">reference to the </w:t>
      </w:r>
      <w:r w:rsidR="00EA07A8">
        <w:t xml:space="preserve">intention to produce Planning Information Guides for </w:t>
      </w:r>
      <w:r w:rsidR="00B33E9F">
        <w:t>the named character areas in Policy 6, in my opinion, requires modification s</w:t>
      </w:r>
      <w:r w:rsidR="004F525D">
        <w:t>o that</w:t>
      </w:r>
      <w:r w:rsidR="00B33E9F">
        <w:t xml:space="preserve"> developers are given </w:t>
      </w:r>
      <w:r w:rsidR="004F525D">
        <w:t xml:space="preserve">greater </w:t>
      </w:r>
      <w:r w:rsidR="00B33E9F">
        <w:t>clarity as to what w</w:t>
      </w:r>
      <w:r w:rsidR="004F525D">
        <w:t>ould or would not be acceptable</w:t>
      </w:r>
      <w:r w:rsidR="00B446FC">
        <w:t xml:space="preserve"> </w:t>
      </w:r>
      <w:r w:rsidR="00B33E9F">
        <w:t xml:space="preserve">in different parts of the QPCC area.  The SOCG puts forward modifications to move the description of the character areas from Policy 6 to paragraph 2.21.  That paragraph </w:t>
      </w:r>
      <w:r w:rsidR="00F02067">
        <w:t xml:space="preserve">would </w:t>
      </w:r>
      <w:r w:rsidR="00B33E9F">
        <w:t>then describe the character areas more fully and refer to the three Design/Planning Information Guides which have already been prepared.  I support these modifications which should</w:t>
      </w:r>
      <w:r w:rsidR="0062516E" w:rsidRPr="0062516E">
        <w:t xml:space="preserve"> </w:t>
      </w:r>
      <w:r w:rsidR="0062516E">
        <w:t>contribute to the achievement of sustainable development</w:t>
      </w:r>
      <w:r w:rsidR="00B33E9F">
        <w:t>.</w:t>
      </w:r>
    </w:p>
    <w:p w14:paraId="507CDC58" w14:textId="77777777" w:rsidR="00B33E9F" w:rsidRDefault="00B33E9F" w:rsidP="00354872">
      <w:pPr>
        <w:jc w:val="left"/>
      </w:pPr>
    </w:p>
    <w:p w14:paraId="611E0504" w14:textId="46727761" w:rsidR="00B33E9F" w:rsidRPr="00E21D97" w:rsidRDefault="00B33E9F" w:rsidP="00354872">
      <w:pPr>
        <w:ind w:left="720" w:hanging="720"/>
        <w:jc w:val="left"/>
      </w:pPr>
      <w:r>
        <w:t>4.</w:t>
      </w:r>
      <w:r w:rsidR="00CB7292">
        <w:t>20</w:t>
      </w:r>
      <w:r w:rsidR="00FA0D97">
        <w:t xml:space="preserve"> </w:t>
      </w:r>
      <w:r w:rsidR="00A17E69">
        <w:tab/>
      </w:r>
      <w:r w:rsidR="00FA0D97">
        <w:t>The SOCG also proposes modification</w:t>
      </w:r>
      <w:r w:rsidR="0062516E">
        <w:t>s</w:t>
      </w:r>
      <w:r w:rsidR="00FA0D97">
        <w:t xml:space="preserve"> to Policy 6</w:t>
      </w:r>
      <w:r w:rsidR="00CB7292">
        <w:t>,</w:t>
      </w:r>
      <w:r w:rsidR="00FA0D97">
        <w:t xml:space="preserve"> and paragraph</w:t>
      </w:r>
      <w:r w:rsidR="0062516E">
        <w:t>s</w:t>
      </w:r>
      <w:r w:rsidR="00FA0D97">
        <w:t xml:space="preserve"> 2.20</w:t>
      </w:r>
      <w:r w:rsidR="0062516E">
        <w:t xml:space="preserve"> and 2.25</w:t>
      </w:r>
      <w:r w:rsidR="00CB7292">
        <w:t>,</w:t>
      </w:r>
      <w:r w:rsidR="00FA0D97">
        <w:t xml:space="preserve"> to refer to the climate emergency</w:t>
      </w:r>
      <w:r w:rsidR="0062516E">
        <w:t>,</w:t>
      </w:r>
      <w:r w:rsidR="00FA0D97">
        <w:t xml:space="preserve"> </w:t>
      </w:r>
      <w:r w:rsidR="0062516E">
        <w:t xml:space="preserve">and express support for retrofitting in line with the </w:t>
      </w:r>
      <w:proofErr w:type="spellStart"/>
      <w:r w:rsidR="0062516E">
        <w:t>Passivhaus</w:t>
      </w:r>
      <w:proofErr w:type="spellEnd"/>
      <w:r w:rsidR="0062516E">
        <w:t xml:space="preserve"> Standard for the achievement of net zero carbon emission.  These modifications should be made for general conformity with the City Plan and to contribute to the achievement of sustainable development.  </w:t>
      </w:r>
      <w:r w:rsidR="00E21D97">
        <w:t>Thames Water noted that there were unlikely to be many major new development schemes in Queen’s Park in the future as the area is already intensively developed.  However, it requested the inclusion of text in the QPNP</w:t>
      </w:r>
      <w:r w:rsidR="004F525D">
        <w:t>,</w:t>
      </w:r>
      <w:r w:rsidR="00E21D97">
        <w:t xml:space="preserve"> encouraging developers to engage with them ahead of submitting a planning application.  I consider that such text should be added to the section addressing design and sustainability, as set out in </w:t>
      </w:r>
      <w:r w:rsidR="00E21D97">
        <w:rPr>
          <w:b/>
        </w:rPr>
        <w:t>PM</w:t>
      </w:r>
      <w:r w:rsidR="00A759D5">
        <w:rPr>
          <w:b/>
        </w:rPr>
        <w:t>6</w:t>
      </w:r>
      <w:r w:rsidR="00E21D97">
        <w:rPr>
          <w:b/>
        </w:rPr>
        <w:t>.</w:t>
      </w:r>
      <w:r w:rsidR="00E21D97">
        <w:t xml:space="preserve"> </w:t>
      </w:r>
    </w:p>
    <w:p w14:paraId="57B35D9E" w14:textId="77777777" w:rsidR="0062516E" w:rsidRDefault="0062516E" w:rsidP="00354872">
      <w:pPr>
        <w:jc w:val="left"/>
      </w:pPr>
    </w:p>
    <w:p w14:paraId="171B5735" w14:textId="329312AC" w:rsidR="0062516E" w:rsidRDefault="0062516E" w:rsidP="00354872">
      <w:pPr>
        <w:ind w:left="720" w:hanging="720"/>
        <w:jc w:val="left"/>
      </w:pPr>
      <w:r>
        <w:t>4.2</w:t>
      </w:r>
      <w:r w:rsidR="00CB7292">
        <w:t>1</w:t>
      </w:r>
      <w:r>
        <w:t xml:space="preserve"> </w:t>
      </w:r>
      <w:r w:rsidR="00A17E69">
        <w:tab/>
      </w:r>
      <w:r>
        <w:t xml:space="preserve">Policy 7: Improving cycling infrastructure </w:t>
      </w:r>
      <w:r w:rsidR="00C01E7B">
        <w:t xml:space="preserve">addresses development proposals “where appropriate”.  I agree with WCC that the wording of the policy needs to be more focused and that the concerns </w:t>
      </w:r>
      <w:proofErr w:type="spellStart"/>
      <w:r w:rsidR="00C01E7B">
        <w:t>ie</w:t>
      </w:r>
      <w:proofErr w:type="spellEnd"/>
      <w:r w:rsidR="00C01E7B">
        <w:t xml:space="preserve">. road safety, air quality, and facilities for cyclists mean that the policy should be re-named as “Improving the cycling environment”.  I support the modifications proposed in the SOCG which also clarify that the policy </w:t>
      </w:r>
      <w:r w:rsidR="00B446FC">
        <w:t>w</w:t>
      </w:r>
      <w:r w:rsidR="00C01E7B">
        <w:t xml:space="preserve">ould apply to </w:t>
      </w:r>
      <w:r w:rsidR="00C01E7B" w:rsidRPr="00C01E7B">
        <w:rPr>
          <w:u w:val="single"/>
        </w:rPr>
        <w:t>major</w:t>
      </w:r>
      <w:r w:rsidR="00C01E7B">
        <w:t xml:space="preserve"> development and give links to the current relevant policies in the London Plan and City Plan.  With these modifications in place, the </w:t>
      </w:r>
      <w:r w:rsidR="004F525D">
        <w:t>B</w:t>
      </w:r>
      <w:r w:rsidR="00C01E7B">
        <w:t xml:space="preserve">asic </w:t>
      </w:r>
      <w:r w:rsidR="004F525D">
        <w:t>C</w:t>
      </w:r>
      <w:r w:rsidR="00C01E7B">
        <w:t>onditions will be met.</w:t>
      </w:r>
    </w:p>
    <w:p w14:paraId="0EED59CF" w14:textId="77777777" w:rsidR="00B15C53" w:rsidRDefault="00B15C53" w:rsidP="00354872">
      <w:pPr>
        <w:jc w:val="left"/>
      </w:pPr>
    </w:p>
    <w:p w14:paraId="429B0D9A" w14:textId="7F34AEC3" w:rsidR="00B15C53" w:rsidRDefault="00B15C53" w:rsidP="00354872">
      <w:pPr>
        <w:ind w:left="720" w:hanging="720"/>
        <w:jc w:val="left"/>
      </w:pPr>
      <w:r>
        <w:t>4.2</w:t>
      </w:r>
      <w:r w:rsidR="00CB7292">
        <w:t xml:space="preserve">2 </w:t>
      </w:r>
      <w:r w:rsidR="00A17E69">
        <w:tab/>
      </w:r>
      <w:r w:rsidR="00B906AC">
        <w:t>I appreciate that</w:t>
      </w:r>
      <w:r>
        <w:t xml:space="preserve"> Policy 8: Safeguarding pedestrian access in Harrow Road </w:t>
      </w:r>
      <w:r w:rsidR="00B906AC">
        <w:t xml:space="preserve">aims </w:t>
      </w:r>
      <w:r>
        <w:t>to promote sustainable development by giving all pedestrians, including those with disabilities</w:t>
      </w:r>
      <w:r w:rsidR="00024F33">
        <w:t>,</w:t>
      </w:r>
      <w:r>
        <w:t xml:space="preserve"> a safe walking environment</w:t>
      </w:r>
      <w:r w:rsidR="00B906AC">
        <w:t>.  It also</w:t>
      </w:r>
      <w:r>
        <w:t xml:space="preserve"> </w:t>
      </w:r>
      <w:r w:rsidR="00CB7292">
        <w:t xml:space="preserve">aims to </w:t>
      </w:r>
      <w:r>
        <w:t>giv</w:t>
      </w:r>
      <w:r w:rsidR="00B906AC">
        <w:t>e pedestrians</w:t>
      </w:r>
      <w:r>
        <w:t xml:space="preserve"> good accessibility to all the retail outlets in the district centre.  The SOCG includes modified policy wording which would, in my view, strengthen the aim for an accessible and sustainable </w:t>
      </w:r>
      <w:r w:rsidR="00B906AC">
        <w:t xml:space="preserve">pedestrian </w:t>
      </w:r>
      <w:r>
        <w:t>environment, as well as updat</w:t>
      </w:r>
      <w:r w:rsidR="00B446FC">
        <w:t>e</w:t>
      </w:r>
      <w:r>
        <w:t xml:space="preserve"> the references to strategic policies in the London Plan and WCC.  I support the modifications in the SOCG</w:t>
      </w:r>
      <w:r w:rsidR="00B446FC">
        <w:t>,</w:t>
      </w:r>
      <w:r>
        <w:t xml:space="preserve"> as they should contribute to the achievement of sustainable development.  </w:t>
      </w:r>
    </w:p>
    <w:p w14:paraId="516597A6" w14:textId="77777777" w:rsidR="00B906AC" w:rsidRDefault="00B906AC" w:rsidP="00354872">
      <w:pPr>
        <w:jc w:val="left"/>
      </w:pPr>
    </w:p>
    <w:p w14:paraId="417798D1" w14:textId="6393ECA7" w:rsidR="002B1294" w:rsidRDefault="00B906AC" w:rsidP="00354872">
      <w:pPr>
        <w:ind w:left="720" w:hanging="720"/>
        <w:jc w:val="left"/>
      </w:pPr>
      <w:r>
        <w:t>4.2</w:t>
      </w:r>
      <w:r w:rsidR="00CB7292">
        <w:t>3</w:t>
      </w:r>
      <w:r>
        <w:t xml:space="preserve"> </w:t>
      </w:r>
      <w:r w:rsidR="00A17E69">
        <w:tab/>
      </w:r>
      <w:r w:rsidR="002B1294">
        <w:t xml:space="preserve">Policy 9: Commercial development seeks to maintain and improve retail and commercial uses in Queen’s Park’s district and local centres.  The thrust of the policy is in general conformity with Policy 5 of the City Plan, Spatial Development Priorities: North West Economic Development Area (NWEDA).  </w:t>
      </w:r>
      <w:r w:rsidR="00CB7292">
        <w:t xml:space="preserve">City Plan </w:t>
      </w:r>
      <w:r w:rsidR="002B1294">
        <w:t xml:space="preserve">Policy 5 highlights the importance of the Harrow Road District Centre to the relatively deprived part of Westminster, </w:t>
      </w:r>
      <w:r w:rsidR="004F525D">
        <w:t xml:space="preserve">defined as </w:t>
      </w:r>
      <w:r w:rsidR="002B1294">
        <w:t xml:space="preserve">the NWEDA, and encourages more economic activity, with protection for small and medium enterprises.  </w:t>
      </w:r>
      <w:r>
        <w:t xml:space="preserve">I support the modifications put forward in the SOCG to </w:t>
      </w:r>
      <w:r w:rsidR="00CB7292">
        <w:t xml:space="preserve">QPNP </w:t>
      </w:r>
      <w:r>
        <w:t>Policy 9: Commercial Development to correct</w:t>
      </w:r>
      <w:r w:rsidR="00D847F7">
        <w:rPr>
          <w:rStyle w:val="FootnoteReference"/>
        </w:rPr>
        <w:footnoteReference w:id="7"/>
      </w:r>
      <w:r>
        <w:t xml:space="preserve"> the reference to Kilburn Lane and refer to active frontages in the supporting text.  </w:t>
      </w:r>
    </w:p>
    <w:p w14:paraId="242E57C7" w14:textId="77777777" w:rsidR="002B1294" w:rsidRDefault="002B1294" w:rsidP="00354872">
      <w:pPr>
        <w:jc w:val="left"/>
      </w:pPr>
    </w:p>
    <w:p w14:paraId="20EA3C92" w14:textId="79317FA1" w:rsidR="007A7EA8" w:rsidRDefault="002B1294" w:rsidP="00354872">
      <w:pPr>
        <w:ind w:left="720" w:hanging="720"/>
        <w:jc w:val="left"/>
      </w:pPr>
      <w:r>
        <w:t>4.2</w:t>
      </w:r>
      <w:r w:rsidR="00CB7292">
        <w:t>4</w:t>
      </w:r>
      <w:r>
        <w:t xml:space="preserve"> </w:t>
      </w:r>
      <w:r w:rsidR="00A17E69">
        <w:tab/>
      </w:r>
      <w:r>
        <w:t xml:space="preserve">However, </w:t>
      </w:r>
      <w:r w:rsidR="00B906AC">
        <w:t>I consider that the policy should be further modified, so that its</w:t>
      </w:r>
      <w:r w:rsidR="006C2F0A">
        <w:t xml:space="preserve"> role as a planning policy, for development which would provide new or enhanced retail and commercial uses</w:t>
      </w:r>
      <w:r w:rsidR="00024F33">
        <w:t>,</w:t>
      </w:r>
      <w:r w:rsidR="006C2F0A">
        <w:t xml:space="preserve"> is expressed more clearly.</w:t>
      </w:r>
      <w:r w:rsidR="00EC7B72">
        <w:rPr>
          <w:rStyle w:val="FootnoteReference"/>
        </w:rPr>
        <w:footnoteReference w:id="8"/>
      </w:r>
      <w:r w:rsidR="006C2F0A">
        <w:t xml:space="preserve">  Paragraph 2.39 refers to the change of use of retail/commercial premises to residential use.  </w:t>
      </w:r>
      <w:r w:rsidR="00554CC9">
        <w:t>The</w:t>
      </w:r>
      <w:r w:rsidR="006C2F0A">
        <w:t xml:space="preserve"> Government </w:t>
      </w:r>
      <w:r w:rsidR="00554CC9">
        <w:t xml:space="preserve">is </w:t>
      </w:r>
      <w:r w:rsidR="00A270F4">
        <w:t xml:space="preserve">seeking to enable more </w:t>
      </w:r>
      <w:r w:rsidR="00554CC9">
        <w:t xml:space="preserve">commercial, business and service </w:t>
      </w:r>
      <w:r w:rsidR="00A270F4">
        <w:t>premis</w:t>
      </w:r>
      <w:r w:rsidR="00554CC9">
        <w:t xml:space="preserve">es to </w:t>
      </w:r>
      <w:r w:rsidR="00A270F4">
        <w:t xml:space="preserve">be changed to </w:t>
      </w:r>
      <w:r w:rsidR="00554CC9">
        <w:t>residential</w:t>
      </w:r>
      <w:r w:rsidR="00A270F4">
        <w:t xml:space="preserve"> use</w:t>
      </w:r>
      <w:r w:rsidR="00024F33">
        <w:t xml:space="preserve"> without the need for planning permission</w:t>
      </w:r>
      <w:r w:rsidR="00554CC9">
        <w:t>, in order to boost the housing supply and make best use of brownfield land.</w:t>
      </w:r>
      <w:r w:rsidR="00F43986">
        <w:rPr>
          <w:rStyle w:val="FootnoteReference"/>
        </w:rPr>
        <w:footnoteReference w:id="9"/>
      </w:r>
      <w:r w:rsidR="00554CC9">
        <w:t xml:space="preserve"> </w:t>
      </w:r>
      <w:r w:rsidR="007A7EA8">
        <w:t xml:space="preserve"> </w:t>
      </w:r>
      <w:r w:rsidR="00554CC9">
        <w:t xml:space="preserve">Clearly, this could </w:t>
      </w:r>
      <w:r w:rsidR="00D847F7">
        <w:t xml:space="preserve">potentially </w:t>
      </w:r>
      <w:r w:rsidR="00554CC9">
        <w:t xml:space="preserve">hold back the creation of more active frontages in Canal Terrace and elsewhere.  </w:t>
      </w:r>
    </w:p>
    <w:p w14:paraId="55226742" w14:textId="77777777" w:rsidR="007A7EA8" w:rsidRDefault="007A7EA8" w:rsidP="00354872">
      <w:pPr>
        <w:jc w:val="left"/>
      </w:pPr>
    </w:p>
    <w:p w14:paraId="23E02DFD" w14:textId="5A6904FF" w:rsidR="00F43986" w:rsidRPr="00D847F7" w:rsidRDefault="00CB7292" w:rsidP="00D847F7">
      <w:pPr>
        <w:pStyle w:val="CommentText"/>
        <w:ind w:left="720" w:hanging="720"/>
        <w:jc w:val="left"/>
        <w:rPr>
          <w:sz w:val="22"/>
          <w:szCs w:val="22"/>
        </w:rPr>
      </w:pPr>
      <w:r w:rsidRPr="00D847F7">
        <w:rPr>
          <w:sz w:val="22"/>
          <w:szCs w:val="22"/>
        </w:rPr>
        <w:t>4.25</w:t>
      </w:r>
      <w:r w:rsidR="007A7EA8">
        <w:t xml:space="preserve"> </w:t>
      </w:r>
      <w:r w:rsidR="00A17E69">
        <w:tab/>
      </w:r>
      <w:r w:rsidR="00F43986" w:rsidRPr="00D847F7">
        <w:rPr>
          <w:sz w:val="22"/>
          <w:szCs w:val="22"/>
        </w:rPr>
        <w:t xml:space="preserve">I note that WCC, in its response to the Regulation 16 consultation exercise, expressed support for QPCC’s aspirations for Canal Terrace, as the terrace has potential for </w:t>
      </w:r>
      <w:r w:rsidR="00A270F4" w:rsidRPr="00D847F7">
        <w:rPr>
          <w:sz w:val="22"/>
          <w:szCs w:val="22"/>
        </w:rPr>
        <w:t xml:space="preserve">more commercial </w:t>
      </w:r>
      <w:r w:rsidR="00F43986" w:rsidRPr="00D847F7">
        <w:rPr>
          <w:sz w:val="22"/>
          <w:szCs w:val="22"/>
        </w:rPr>
        <w:t>uses to serve the local community</w:t>
      </w:r>
      <w:r w:rsidR="00A270F4" w:rsidRPr="00D847F7">
        <w:rPr>
          <w:sz w:val="22"/>
          <w:szCs w:val="22"/>
        </w:rPr>
        <w:t>,</w:t>
      </w:r>
      <w:r w:rsidR="00F43986" w:rsidRPr="00D847F7">
        <w:rPr>
          <w:sz w:val="22"/>
          <w:szCs w:val="22"/>
        </w:rPr>
        <w:t xml:space="preserve"> and for </w:t>
      </w:r>
      <w:r w:rsidR="00A270F4" w:rsidRPr="00D847F7">
        <w:rPr>
          <w:sz w:val="22"/>
          <w:szCs w:val="22"/>
        </w:rPr>
        <w:t xml:space="preserve">more activity to create </w:t>
      </w:r>
      <w:r w:rsidR="00F43986" w:rsidRPr="00D847F7">
        <w:rPr>
          <w:sz w:val="22"/>
          <w:szCs w:val="22"/>
        </w:rPr>
        <w:t xml:space="preserve">improvements to the environment around the canal. </w:t>
      </w:r>
      <w:r w:rsidR="00D847F7" w:rsidRPr="00D847F7">
        <w:rPr>
          <w:sz w:val="22"/>
          <w:szCs w:val="22"/>
        </w:rPr>
        <w:t>Nevertheless</w:t>
      </w:r>
      <w:r w:rsidR="00D847F7">
        <w:rPr>
          <w:sz w:val="22"/>
          <w:szCs w:val="22"/>
        </w:rPr>
        <w:t>,</w:t>
      </w:r>
      <w:r w:rsidR="00D847F7" w:rsidRPr="00D847F7">
        <w:rPr>
          <w:sz w:val="22"/>
          <w:szCs w:val="22"/>
        </w:rPr>
        <w:t xml:space="preserve"> I consider that the Plan, at paragraph 2.9, should mention that new permitted development rights com</w:t>
      </w:r>
      <w:r w:rsidR="009C0708">
        <w:rPr>
          <w:sz w:val="22"/>
          <w:szCs w:val="22"/>
        </w:rPr>
        <w:t>e</w:t>
      </w:r>
      <w:r w:rsidR="00D847F7" w:rsidRPr="00D847F7">
        <w:rPr>
          <w:sz w:val="22"/>
          <w:szCs w:val="22"/>
        </w:rPr>
        <w:t xml:space="preserve"> into </w:t>
      </w:r>
      <w:r w:rsidR="00D847F7">
        <w:rPr>
          <w:sz w:val="22"/>
          <w:szCs w:val="22"/>
        </w:rPr>
        <w:t>effect</w:t>
      </w:r>
      <w:r w:rsidR="00D847F7" w:rsidRPr="00D847F7">
        <w:rPr>
          <w:sz w:val="22"/>
          <w:szCs w:val="22"/>
        </w:rPr>
        <w:t xml:space="preserve"> on 1 August 2021 </w:t>
      </w:r>
      <w:r w:rsidR="00D847F7">
        <w:rPr>
          <w:sz w:val="22"/>
          <w:szCs w:val="22"/>
        </w:rPr>
        <w:t xml:space="preserve">which </w:t>
      </w:r>
      <w:r w:rsidR="00D847F7" w:rsidRPr="00D847F7">
        <w:rPr>
          <w:sz w:val="22"/>
          <w:szCs w:val="22"/>
        </w:rPr>
        <w:t>will enable the change of use from the new Class E (Commercial, Business and Service) to residential use (Class C3).</w:t>
      </w:r>
      <w:r w:rsidR="00554CC9" w:rsidRPr="00D847F7">
        <w:rPr>
          <w:sz w:val="22"/>
          <w:szCs w:val="22"/>
        </w:rPr>
        <w:t xml:space="preserve">  </w:t>
      </w:r>
      <w:r w:rsidR="00554CC9" w:rsidRPr="00D847F7">
        <w:rPr>
          <w:b/>
          <w:sz w:val="22"/>
          <w:szCs w:val="22"/>
        </w:rPr>
        <w:t>PM</w:t>
      </w:r>
      <w:r w:rsidR="00A759D5" w:rsidRPr="00D847F7">
        <w:rPr>
          <w:b/>
          <w:sz w:val="22"/>
          <w:szCs w:val="22"/>
        </w:rPr>
        <w:t>7</w:t>
      </w:r>
      <w:r w:rsidR="00554CC9" w:rsidRPr="00D847F7">
        <w:rPr>
          <w:sz w:val="22"/>
          <w:szCs w:val="22"/>
        </w:rPr>
        <w:t xml:space="preserve"> should be made in addition to the modifications in the SOCG to Policy 9 and the justification, so that regard is </w:t>
      </w:r>
      <w:proofErr w:type="spellStart"/>
      <w:r w:rsidR="00554CC9" w:rsidRPr="00D847F7">
        <w:rPr>
          <w:sz w:val="22"/>
          <w:szCs w:val="22"/>
        </w:rPr>
        <w:t>had</w:t>
      </w:r>
      <w:proofErr w:type="spellEnd"/>
      <w:r w:rsidR="00554CC9" w:rsidRPr="00D847F7">
        <w:rPr>
          <w:sz w:val="22"/>
          <w:szCs w:val="22"/>
        </w:rPr>
        <w:t xml:space="preserve"> for national planning policy.   </w:t>
      </w:r>
      <w:r w:rsidR="006C2F0A" w:rsidRPr="00D847F7">
        <w:rPr>
          <w:sz w:val="22"/>
          <w:szCs w:val="22"/>
        </w:rPr>
        <w:t xml:space="preserve"> </w:t>
      </w:r>
    </w:p>
    <w:p w14:paraId="6A5102AC" w14:textId="77777777" w:rsidR="00F43986" w:rsidRDefault="00F43986" w:rsidP="00354872">
      <w:pPr>
        <w:jc w:val="left"/>
      </w:pPr>
    </w:p>
    <w:p w14:paraId="40E0706D" w14:textId="6A5D15F2" w:rsidR="00786AF4" w:rsidRDefault="007A7EA8" w:rsidP="00354872">
      <w:pPr>
        <w:ind w:left="720" w:hanging="720"/>
        <w:jc w:val="left"/>
      </w:pPr>
      <w:r>
        <w:t>4.2</w:t>
      </w:r>
      <w:r w:rsidR="006558C5">
        <w:t>6</w:t>
      </w:r>
      <w:r w:rsidR="00F43986">
        <w:t xml:space="preserve"> </w:t>
      </w:r>
      <w:r w:rsidR="00A17E69">
        <w:tab/>
      </w:r>
      <w:r w:rsidR="00F43986">
        <w:t xml:space="preserve">Policy 10 concerns residential development, and the supporting text </w:t>
      </w:r>
      <w:r w:rsidR="00B05465">
        <w:t>refer</w:t>
      </w:r>
      <w:r w:rsidR="00F43986">
        <w:t>s</w:t>
      </w:r>
      <w:r w:rsidR="00B05465">
        <w:t xml:space="preserve"> to the constraints on new housing development imposed by</w:t>
      </w:r>
      <w:r w:rsidR="00F43986">
        <w:t xml:space="preserve"> the </w:t>
      </w:r>
      <w:proofErr w:type="gramStart"/>
      <w:r w:rsidR="00F43986">
        <w:t>built up</w:t>
      </w:r>
      <w:proofErr w:type="gramEnd"/>
      <w:r w:rsidR="00F43986">
        <w:t xml:space="preserve"> nature of the area</w:t>
      </w:r>
      <w:r w:rsidR="00B05465">
        <w:t>.  It states that the Plan focuses on the small number of potential opportunities for additional residential developments</w:t>
      </w:r>
      <w:r w:rsidR="00786AF4">
        <w:t>;</w:t>
      </w:r>
      <w:r w:rsidR="00B05465">
        <w:t xml:space="preserve"> an objective is to protect the existing social rented</w:t>
      </w:r>
      <w:r w:rsidR="00C816CA">
        <w:t xml:space="preserve"> housing</w:t>
      </w:r>
      <w:r w:rsidR="00B05465">
        <w:t xml:space="preserve"> stock.  The SOCG proposes to modify Policy 10</w:t>
      </w:r>
      <w:r w:rsidR="006C242B">
        <w:t xml:space="preserve"> and the supporting text </w:t>
      </w:r>
      <w:r w:rsidR="00B05465">
        <w:t xml:space="preserve">so that </w:t>
      </w:r>
      <w:r w:rsidR="00024F33">
        <w:t>the policy</w:t>
      </w:r>
      <w:r w:rsidR="00D847F7">
        <w:t>,</w:t>
      </w:r>
      <w:r w:rsidR="00B05465">
        <w:t xml:space="preserve"> first</w:t>
      </w:r>
      <w:r w:rsidR="006558C5">
        <w:t>ly</w:t>
      </w:r>
      <w:r w:rsidR="00D847F7">
        <w:t>,</w:t>
      </w:r>
      <w:r w:rsidR="00B05465">
        <w:t xml:space="preserve"> </w:t>
      </w:r>
      <w:r w:rsidR="00024F33">
        <w:t>addresses</w:t>
      </w:r>
      <w:r w:rsidR="00B05465">
        <w:t xml:space="preserve"> proposals for redevelopment, infill and intensification of residential uses</w:t>
      </w:r>
      <w:r w:rsidR="00D847F7">
        <w:t>,</w:t>
      </w:r>
      <w:r w:rsidR="00B05465">
        <w:t xml:space="preserve"> and second</w:t>
      </w:r>
      <w:r w:rsidR="00024F33">
        <w:t>ly</w:t>
      </w:r>
      <w:r w:rsidR="00D847F7">
        <w:t>,</w:t>
      </w:r>
      <w:r w:rsidR="00024F33">
        <w:t xml:space="preserve"> offers</w:t>
      </w:r>
      <w:r w:rsidR="00B05465">
        <w:t xml:space="preserve"> support </w:t>
      </w:r>
      <w:r w:rsidR="00024F33">
        <w:t xml:space="preserve">for </w:t>
      </w:r>
      <w:r w:rsidR="00B05465">
        <w:t>proposals for narrow</w:t>
      </w:r>
      <w:r w:rsidR="00024F33">
        <w:t>-</w:t>
      </w:r>
      <w:r w:rsidR="00B05465">
        <w:t xml:space="preserve">boats which are permanently moored on the Grand Union Canal.  </w:t>
      </w:r>
      <w:r w:rsidR="00786AF4">
        <w:t xml:space="preserve">I support these modifications as they clarify the Plan’s </w:t>
      </w:r>
      <w:r w:rsidR="006558C5">
        <w:t>priorities</w:t>
      </w:r>
      <w:r w:rsidR="00786AF4">
        <w:t xml:space="preserve"> for new housing development</w:t>
      </w:r>
      <w:r w:rsidR="00024F33">
        <w:t>,</w:t>
      </w:r>
      <w:r w:rsidR="00786AF4">
        <w:t xml:space="preserve"> </w:t>
      </w:r>
      <w:r w:rsidR="006558C5">
        <w:t>and secure</w:t>
      </w:r>
      <w:r w:rsidR="00786AF4">
        <w:t xml:space="preserve"> general conformity with the </w:t>
      </w:r>
      <w:r w:rsidR="006558C5">
        <w:t xml:space="preserve">London and </w:t>
      </w:r>
      <w:r w:rsidR="00786AF4">
        <w:t>City Plan</w:t>
      </w:r>
      <w:r w:rsidR="006558C5">
        <w:t>s</w:t>
      </w:r>
      <w:r w:rsidR="00786AF4">
        <w:t>.</w:t>
      </w:r>
    </w:p>
    <w:p w14:paraId="7D45EDAB" w14:textId="77777777" w:rsidR="00786AF4" w:rsidRDefault="00786AF4" w:rsidP="00354872">
      <w:pPr>
        <w:jc w:val="left"/>
      </w:pPr>
    </w:p>
    <w:p w14:paraId="7EBBC4C9" w14:textId="2F8217F3" w:rsidR="00A83B0F" w:rsidRDefault="00786AF4" w:rsidP="00354872">
      <w:pPr>
        <w:ind w:left="720" w:hanging="720"/>
        <w:jc w:val="left"/>
      </w:pPr>
      <w:r>
        <w:t>4.2</w:t>
      </w:r>
      <w:r w:rsidR="006558C5">
        <w:t>7</w:t>
      </w:r>
      <w:r>
        <w:t xml:space="preserve"> </w:t>
      </w:r>
      <w:r w:rsidR="00A17E69">
        <w:tab/>
      </w:r>
      <w:r w:rsidR="006C242B">
        <w:t xml:space="preserve">Proposed modifications </w:t>
      </w:r>
      <w:r>
        <w:t xml:space="preserve">in the SOCG </w:t>
      </w:r>
      <w:r w:rsidR="006C242B">
        <w:t>to paragraph 2.40 clarify the reasons why redevelopment, infill and intensification will be important mechanisms for securing ne</w:t>
      </w:r>
      <w:r w:rsidR="00C816CA">
        <w:t>w</w:t>
      </w:r>
      <w:r w:rsidR="006C242B">
        <w:t xml:space="preserve"> housing development</w:t>
      </w:r>
      <w:r>
        <w:t xml:space="preserve"> in Queen’s Park</w:t>
      </w:r>
      <w:r w:rsidR="006C242B">
        <w:t xml:space="preserve">.  Paragraphs 2.42 and 2.43 would also be modified to emphasise that a range of homes to meet different needs should be met, and </w:t>
      </w:r>
      <w:r w:rsidR="00C816CA">
        <w:t xml:space="preserve">to inform readers that </w:t>
      </w:r>
      <w:r w:rsidR="006C242B">
        <w:t>discussions about moorings have taken place with the Canal and Rivers Trust.  The SOCG includes a revised</w:t>
      </w:r>
      <w:r w:rsidR="00A83B0F">
        <w:t xml:space="preserve"> map of New Residential Opportunities, with updated information on infill sites at Queen’s Park Court. </w:t>
      </w:r>
      <w:r w:rsidR="006C242B">
        <w:t xml:space="preserve"> </w:t>
      </w:r>
      <w:r w:rsidR="00EE6687">
        <w:t xml:space="preserve">I support </w:t>
      </w:r>
      <w:r w:rsidR="00A83B0F">
        <w:t xml:space="preserve">all </w:t>
      </w:r>
      <w:r w:rsidR="00EE6687">
        <w:t xml:space="preserve">the </w:t>
      </w:r>
      <w:r w:rsidR="002A39B9">
        <w:t xml:space="preserve">proposed </w:t>
      </w:r>
      <w:r w:rsidR="00EE6687">
        <w:t>modifications</w:t>
      </w:r>
      <w:r w:rsidR="00A83B0F">
        <w:t xml:space="preserve"> to Policy 10 and Pages 30-31,</w:t>
      </w:r>
      <w:r w:rsidR="00EE6687">
        <w:t xml:space="preserve"> which</w:t>
      </w:r>
      <w:r w:rsidR="00A83B0F">
        <w:t xml:space="preserve"> are needed for general conformity with strategic housing policies in the London Plan and City Plan</w:t>
      </w:r>
      <w:r w:rsidR="00C816CA">
        <w:t>,</w:t>
      </w:r>
      <w:r w:rsidR="00A83B0F">
        <w:t xml:space="preserve"> and to contribute to the achievement of sustainable development.</w:t>
      </w:r>
    </w:p>
    <w:p w14:paraId="0479430B" w14:textId="77777777" w:rsidR="00A83B0F" w:rsidRDefault="00A83B0F" w:rsidP="00354872">
      <w:pPr>
        <w:jc w:val="left"/>
      </w:pPr>
    </w:p>
    <w:p w14:paraId="3B0D9F64" w14:textId="33167120" w:rsidR="00B906AC" w:rsidRDefault="00786AF4" w:rsidP="00354872">
      <w:pPr>
        <w:ind w:left="720" w:hanging="720"/>
        <w:jc w:val="left"/>
      </w:pPr>
      <w:r>
        <w:t>4.2</w:t>
      </w:r>
      <w:r w:rsidR="006558C5">
        <w:t>8</w:t>
      </w:r>
      <w:r w:rsidR="00A83B0F">
        <w:t xml:space="preserve"> </w:t>
      </w:r>
      <w:r w:rsidR="00A17E69">
        <w:tab/>
      </w:r>
      <w:r w:rsidR="00A83B0F">
        <w:t xml:space="preserve">The first sentence of paragraph 2.42 sets out the main objective for new housing provision in Queen’s Park but contains a typing error which has not been corrected in the SOCG.  I consider that this is an important sentence, explaining the Plan’s objective for new housing.  Therefore, I propose corrective wording, as shown in </w:t>
      </w:r>
      <w:r w:rsidR="00A83B0F">
        <w:rPr>
          <w:b/>
        </w:rPr>
        <w:t>PM</w:t>
      </w:r>
      <w:r w:rsidR="00A759D5">
        <w:rPr>
          <w:b/>
        </w:rPr>
        <w:t>8</w:t>
      </w:r>
      <w:r w:rsidR="00A83B0F">
        <w:t xml:space="preserve">, </w:t>
      </w:r>
      <w:r w:rsidR="002C598B">
        <w:t xml:space="preserve">so that regard is </w:t>
      </w:r>
      <w:proofErr w:type="spellStart"/>
      <w:r w:rsidR="002C598B">
        <w:t>had</w:t>
      </w:r>
      <w:proofErr w:type="spellEnd"/>
      <w:r w:rsidR="002C598B">
        <w:t xml:space="preserve"> for national planning policy.</w:t>
      </w:r>
      <w:r w:rsidR="00EE6687">
        <w:t xml:space="preserve">  </w:t>
      </w:r>
      <w:r w:rsidR="00B05465">
        <w:t xml:space="preserve">  </w:t>
      </w:r>
      <w:r w:rsidR="00B906AC">
        <w:t xml:space="preserve">  </w:t>
      </w:r>
    </w:p>
    <w:p w14:paraId="14A8811E" w14:textId="77777777" w:rsidR="00786AF4" w:rsidRDefault="00786AF4" w:rsidP="00354872">
      <w:pPr>
        <w:jc w:val="left"/>
      </w:pPr>
    </w:p>
    <w:p w14:paraId="1F6E21CF" w14:textId="542C720E" w:rsidR="00786AF4" w:rsidRDefault="00786AF4" w:rsidP="00354872">
      <w:pPr>
        <w:ind w:left="720" w:hanging="720"/>
        <w:jc w:val="left"/>
      </w:pPr>
      <w:r>
        <w:t>4.2</w:t>
      </w:r>
      <w:r w:rsidR="006558C5">
        <w:t>9</w:t>
      </w:r>
      <w:r>
        <w:t xml:space="preserve"> </w:t>
      </w:r>
      <w:r w:rsidR="00A17E69">
        <w:tab/>
      </w:r>
      <w:r w:rsidR="009A3610">
        <w:t xml:space="preserve">The SOCG includes proposed modifications to section 3 Projects of the QPNP.  As the projects go beyond land use planning, I have not examined their content and detail in terms of the </w:t>
      </w:r>
      <w:r w:rsidR="00B16DD0">
        <w:t>B</w:t>
      </w:r>
      <w:r w:rsidR="009A3610">
        <w:t xml:space="preserve">asic </w:t>
      </w:r>
      <w:r w:rsidR="00B16DD0">
        <w:t>C</w:t>
      </w:r>
      <w:r w:rsidR="009A3610">
        <w:t xml:space="preserve">onditions for neighbourhood planning.  However, I have read the modifications proposed in the SOCG to section 3 and </w:t>
      </w:r>
      <w:r w:rsidR="00D847F7">
        <w:t xml:space="preserve">see no reason for </w:t>
      </w:r>
      <w:r w:rsidR="009A3610">
        <w:t xml:space="preserve">them </w:t>
      </w:r>
      <w:r w:rsidR="00D847F7">
        <w:t xml:space="preserve">not to be made </w:t>
      </w:r>
      <w:r w:rsidR="009A3610">
        <w:t>to the submitted Plan.</w:t>
      </w:r>
      <w:r w:rsidR="006558C5">
        <w:t xml:space="preserve">  </w:t>
      </w:r>
      <w:proofErr w:type="gramStart"/>
      <w:r w:rsidR="006558C5">
        <w:t>As long as</w:t>
      </w:r>
      <w:proofErr w:type="gramEnd"/>
      <w:r w:rsidR="006558C5">
        <w:t xml:space="preserve"> the above modifications are made, I conclude that the specific policies of the QPNP satisfy the </w:t>
      </w:r>
      <w:r w:rsidR="003B404B">
        <w:t>B</w:t>
      </w:r>
      <w:r w:rsidR="006558C5">
        <w:t xml:space="preserve">asic </w:t>
      </w:r>
      <w:r w:rsidR="003B404B">
        <w:t>C</w:t>
      </w:r>
      <w:r w:rsidR="006558C5">
        <w:t>onditions for neighbourhood planning.</w:t>
      </w:r>
    </w:p>
    <w:p w14:paraId="5F13C7BB" w14:textId="77777777" w:rsidR="00D4654B" w:rsidRDefault="0043181A" w:rsidP="00354872">
      <w:pPr>
        <w:jc w:val="left"/>
        <w:rPr>
          <w:b/>
        </w:rPr>
      </w:pPr>
      <w:r w:rsidRPr="00363D31">
        <w:rPr>
          <w:color w:val="1F4E79" w:themeColor="accent1" w:themeShade="80"/>
        </w:rPr>
        <w:tab/>
      </w:r>
    </w:p>
    <w:p w14:paraId="14E2405B" w14:textId="77777777" w:rsidR="00E718D8" w:rsidRDefault="00E718D8" w:rsidP="00354872">
      <w:pPr>
        <w:ind w:left="0" w:firstLine="0"/>
        <w:jc w:val="left"/>
        <w:rPr>
          <w:b/>
        </w:rPr>
      </w:pPr>
    </w:p>
    <w:p w14:paraId="46CB9A5B" w14:textId="77777777" w:rsidR="009F685C" w:rsidRDefault="009F685C" w:rsidP="00354872">
      <w:pPr>
        <w:ind w:left="0" w:firstLine="0"/>
        <w:jc w:val="left"/>
        <w:rPr>
          <w:b/>
        </w:rPr>
      </w:pPr>
      <w:r>
        <w:rPr>
          <w:b/>
        </w:rPr>
        <w:t>5</w:t>
      </w:r>
      <w:r w:rsidRPr="00846A98">
        <w:rPr>
          <w:b/>
        </w:rPr>
        <w:t>. C</w:t>
      </w:r>
      <w:r>
        <w:rPr>
          <w:b/>
        </w:rPr>
        <w:t>onclusions</w:t>
      </w:r>
    </w:p>
    <w:p w14:paraId="0BED70D9" w14:textId="77777777" w:rsidR="00971A14" w:rsidRDefault="00971A14" w:rsidP="00354872">
      <w:pPr>
        <w:contextualSpacing/>
        <w:jc w:val="left"/>
        <w:rPr>
          <w:i/>
          <w:szCs w:val="22"/>
          <w:lang w:eastAsia="en-US"/>
        </w:rPr>
      </w:pPr>
    </w:p>
    <w:p w14:paraId="2F0EFBDE" w14:textId="77777777" w:rsidR="00514D35" w:rsidRPr="009641FD" w:rsidRDefault="009641FD" w:rsidP="00354872">
      <w:pPr>
        <w:contextualSpacing/>
        <w:jc w:val="left"/>
        <w:rPr>
          <w:i/>
          <w:szCs w:val="22"/>
          <w:lang w:eastAsia="en-US"/>
        </w:rPr>
      </w:pPr>
      <w:r w:rsidRPr="009641FD">
        <w:rPr>
          <w:i/>
          <w:szCs w:val="22"/>
          <w:lang w:eastAsia="en-US"/>
        </w:rPr>
        <w:t xml:space="preserve">Summary </w:t>
      </w:r>
    </w:p>
    <w:p w14:paraId="6CE12E9D" w14:textId="77777777" w:rsidR="009A4728" w:rsidRDefault="009A4728" w:rsidP="00354872">
      <w:pPr>
        <w:contextualSpacing/>
        <w:jc w:val="left"/>
      </w:pPr>
    </w:p>
    <w:p w14:paraId="15C63B5E" w14:textId="26FE981E" w:rsidR="005C46B1" w:rsidRDefault="009641FD" w:rsidP="00354872">
      <w:pPr>
        <w:ind w:left="720" w:hanging="720"/>
        <w:contextualSpacing/>
        <w:jc w:val="left"/>
        <w:rPr>
          <w:color w:val="808080" w:themeColor="background1" w:themeShade="80"/>
          <w:szCs w:val="22"/>
          <w:lang w:eastAsia="en-US"/>
        </w:rPr>
      </w:pPr>
      <w:r>
        <w:t xml:space="preserve">5.1 </w:t>
      </w:r>
      <w:r w:rsidR="00A17E69">
        <w:tab/>
      </w:r>
      <w:r w:rsidR="00CF13CE">
        <w:t xml:space="preserve">The </w:t>
      </w:r>
      <w:r w:rsidR="002A39B9">
        <w:t>QPNP</w:t>
      </w:r>
      <w:r w:rsidR="00CF13CE">
        <w:t xml:space="preserve"> has been duly prepared in compliance with the procedural requirements.</w:t>
      </w:r>
      <w:r w:rsidR="002A39B9">
        <w:t xml:space="preserve"> </w:t>
      </w:r>
      <w:r w:rsidR="00CF13CE">
        <w:t xml:space="preserve"> </w:t>
      </w:r>
      <w:r w:rsidR="00CF13CE">
        <w:rPr>
          <w:szCs w:val="22"/>
          <w:lang w:eastAsia="en-US"/>
        </w:rPr>
        <w:t>My examinatio</w:t>
      </w:r>
      <w:r w:rsidR="00E718D8">
        <w:rPr>
          <w:szCs w:val="22"/>
          <w:lang w:eastAsia="en-US"/>
        </w:rPr>
        <w:t>n has investigated whether the P</w:t>
      </w:r>
      <w:r w:rsidR="00CF13CE">
        <w:rPr>
          <w:szCs w:val="22"/>
          <w:lang w:eastAsia="en-US"/>
        </w:rPr>
        <w:t xml:space="preserve">lan meets the </w:t>
      </w:r>
      <w:r w:rsidR="003B404B">
        <w:rPr>
          <w:szCs w:val="22"/>
          <w:lang w:eastAsia="en-US"/>
        </w:rPr>
        <w:t>B</w:t>
      </w:r>
      <w:r w:rsidR="00CF13CE">
        <w:rPr>
          <w:szCs w:val="22"/>
          <w:lang w:eastAsia="en-US"/>
        </w:rPr>
        <w:t xml:space="preserve">asic Conditions </w:t>
      </w:r>
      <w:r w:rsidR="0054410D">
        <w:rPr>
          <w:szCs w:val="22"/>
          <w:lang w:eastAsia="en-US"/>
        </w:rPr>
        <w:t xml:space="preserve">and other legal requirements </w:t>
      </w:r>
      <w:r w:rsidR="00CF13CE">
        <w:rPr>
          <w:szCs w:val="22"/>
          <w:lang w:eastAsia="en-US"/>
        </w:rPr>
        <w:t xml:space="preserve">for neighbourhood plans.  </w:t>
      </w:r>
      <w:r w:rsidR="00E55775">
        <w:rPr>
          <w:szCs w:val="22"/>
          <w:lang w:eastAsia="en-US"/>
        </w:rPr>
        <w:t xml:space="preserve">I have had regard for all the responses made following consultation on the </w:t>
      </w:r>
      <w:r w:rsidR="005C2387">
        <w:rPr>
          <w:szCs w:val="22"/>
          <w:lang w:eastAsia="en-US"/>
        </w:rPr>
        <w:t>N</w:t>
      </w:r>
      <w:r w:rsidR="00E55775">
        <w:rPr>
          <w:szCs w:val="22"/>
          <w:lang w:eastAsia="en-US"/>
        </w:rPr>
        <w:t xml:space="preserve">eighbourhood </w:t>
      </w:r>
      <w:r w:rsidR="005C2387">
        <w:rPr>
          <w:szCs w:val="22"/>
          <w:lang w:eastAsia="en-US"/>
        </w:rPr>
        <w:t>P</w:t>
      </w:r>
      <w:r w:rsidR="00E55775">
        <w:rPr>
          <w:szCs w:val="22"/>
          <w:lang w:eastAsia="en-US"/>
        </w:rPr>
        <w:t xml:space="preserve">lan, and the evidence documents submitted with it.  </w:t>
      </w:r>
    </w:p>
    <w:p w14:paraId="70E04236" w14:textId="77777777" w:rsidR="009F685C" w:rsidRDefault="009F685C" w:rsidP="00354872">
      <w:pPr>
        <w:ind w:left="0" w:firstLine="0"/>
        <w:jc w:val="left"/>
      </w:pPr>
    </w:p>
    <w:p w14:paraId="6659133E" w14:textId="101E899F" w:rsidR="004F4901" w:rsidRDefault="00E55775" w:rsidP="00354872">
      <w:pPr>
        <w:ind w:left="720" w:hanging="720"/>
        <w:jc w:val="left"/>
      </w:pPr>
      <w:r>
        <w:t xml:space="preserve">5.2 </w:t>
      </w:r>
      <w:r w:rsidR="00A17E69">
        <w:tab/>
      </w:r>
      <w:r w:rsidR="004F4901" w:rsidRPr="00846A98">
        <w:t xml:space="preserve">I have made recommendations to modify </w:t>
      </w:r>
      <w:proofErr w:type="gramStart"/>
      <w:r w:rsidR="004F4901" w:rsidRPr="00846A98">
        <w:t>a number of</w:t>
      </w:r>
      <w:proofErr w:type="gramEnd"/>
      <w:r w:rsidR="004F4901" w:rsidRPr="00846A98">
        <w:t xml:space="preserve"> policies and text to ensure the </w:t>
      </w:r>
      <w:r w:rsidR="00E718D8">
        <w:t>P</w:t>
      </w:r>
      <w:r w:rsidR="004F4901" w:rsidRPr="00846A98">
        <w:t xml:space="preserve">lan meets </w:t>
      </w:r>
      <w:r w:rsidR="0054410D">
        <w:t xml:space="preserve">the </w:t>
      </w:r>
      <w:r w:rsidR="00473037">
        <w:t>Basic Conditions</w:t>
      </w:r>
      <w:r w:rsidR="0054410D">
        <w:t xml:space="preserve"> and other legal requirements</w:t>
      </w:r>
      <w:r w:rsidR="004F4901" w:rsidRPr="00846A98">
        <w:t>.</w:t>
      </w:r>
      <w:r w:rsidR="002A39B9">
        <w:t xml:space="preserve"> </w:t>
      </w:r>
      <w:r w:rsidR="004F4901" w:rsidRPr="00846A98">
        <w:t xml:space="preserve"> I r</w:t>
      </w:r>
      <w:r w:rsidR="004F4901">
        <w:t xml:space="preserve">ecommend that the </w:t>
      </w:r>
      <w:r w:rsidR="00E718D8">
        <w:t>P</w:t>
      </w:r>
      <w:r w:rsidR="004F4901">
        <w:t xml:space="preserve">lan, once modified, proceeds to referendum. </w:t>
      </w:r>
    </w:p>
    <w:p w14:paraId="4A2D19E0" w14:textId="78BEBE4C" w:rsidR="004C0AB0" w:rsidRDefault="004C0AB0" w:rsidP="00354872">
      <w:pPr>
        <w:ind w:left="0" w:firstLine="0"/>
        <w:jc w:val="left"/>
        <w:rPr>
          <w:i/>
        </w:rPr>
      </w:pPr>
    </w:p>
    <w:p w14:paraId="48976ADC" w14:textId="73EB607F" w:rsidR="003A3751" w:rsidRDefault="003A3751" w:rsidP="00354872">
      <w:pPr>
        <w:ind w:left="0" w:firstLine="0"/>
        <w:jc w:val="left"/>
        <w:rPr>
          <w:i/>
        </w:rPr>
      </w:pPr>
    </w:p>
    <w:p w14:paraId="27E1DB87" w14:textId="77777777" w:rsidR="003A3751" w:rsidRDefault="003A3751" w:rsidP="00354872">
      <w:pPr>
        <w:ind w:left="0" w:firstLine="0"/>
        <w:jc w:val="left"/>
        <w:rPr>
          <w:i/>
        </w:rPr>
      </w:pPr>
    </w:p>
    <w:p w14:paraId="08D9306D" w14:textId="2551B22C" w:rsidR="005C46B1" w:rsidRDefault="005C46B1" w:rsidP="00354872">
      <w:pPr>
        <w:ind w:left="0" w:firstLine="0"/>
        <w:jc w:val="left"/>
        <w:rPr>
          <w:i/>
        </w:rPr>
      </w:pPr>
      <w:r w:rsidRPr="005C46B1">
        <w:rPr>
          <w:i/>
        </w:rPr>
        <w:t>The Referendum and its Area</w:t>
      </w:r>
    </w:p>
    <w:p w14:paraId="0F236C57" w14:textId="77777777" w:rsidR="00DA0078" w:rsidRPr="005C46B1" w:rsidRDefault="00DA0078" w:rsidP="00354872">
      <w:pPr>
        <w:ind w:left="0" w:firstLine="0"/>
        <w:jc w:val="left"/>
        <w:rPr>
          <w:i/>
        </w:rPr>
      </w:pPr>
    </w:p>
    <w:p w14:paraId="5D000C8D" w14:textId="4D99B6BC" w:rsidR="009A4728" w:rsidRDefault="004F4901" w:rsidP="00354872">
      <w:pPr>
        <w:ind w:left="720" w:hanging="720"/>
        <w:jc w:val="left"/>
      </w:pPr>
      <w:r>
        <w:t>5.</w:t>
      </w:r>
      <w:r w:rsidR="009641FD">
        <w:t>3</w:t>
      </w:r>
      <w:r w:rsidR="00A17E69">
        <w:tab/>
      </w:r>
      <w:r>
        <w:t xml:space="preserve">I have considered </w:t>
      </w:r>
      <w:proofErr w:type="gramStart"/>
      <w:r>
        <w:t>whether or not</w:t>
      </w:r>
      <w:proofErr w:type="gramEnd"/>
      <w:r>
        <w:t xml:space="preserve"> the referendum area should be extended beyond th</w:t>
      </w:r>
      <w:r w:rsidR="00E718D8">
        <w:t>e designated area to which the P</w:t>
      </w:r>
      <w:r>
        <w:t xml:space="preserve">lan relates. </w:t>
      </w:r>
      <w:r w:rsidR="00D4654B" w:rsidRPr="002A39B9">
        <w:t xml:space="preserve">The </w:t>
      </w:r>
      <w:r w:rsidR="002A39B9">
        <w:t>QPNP,</w:t>
      </w:r>
      <w:r w:rsidRPr="002A39B9">
        <w:t xml:space="preserve"> as modified</w:t>
      </w:r>
      <w:r w:rsidR="002A39B9">
        <w:t>,</w:t>
      </w:r>
      <w:r w:rsidRPr="002A39B9">
        <w:t xml:space="preserve"> has no policy or proposals which I consider significant enough to have an impact beyond the designated </w:t>
      </w:r>
      <w:r w:rsidR="005C2387" w:rsidRPr="002A39B9">
        <w:t>N</w:t>
      </w:r>
      <w:r w:rsidR="00E55775" w:rsidRPr="002A39B9">
        <w:t xml:space="preserve">eighbourhood </w:t>
      </w:r>
      <w:r w:rsidR="005C2387" w:rsidRPr="002A39B9">
        <w:t>P</w:t>
      </w:r>
      <w:r w:rsidRPr="002A39B9">
        <w:t xml:space="preserve">lan </w:t>
      </w:r>
      <w:r w:rsidR="00E55775" w:rsidRPr="002A39B9">
        <w:t>b</w:t>
      </w:r>
      <w:r w:rsidRPr="002A39B9">
        <w:t>oundary, requir</w:t>
      </w:r>
      <w:r w:rsidR="0056421B" w:rsidRPr="002A39B9">
        <w:t>ing</w:t>
      </w:r>
      <w:r w:rsidRPr="002A39B9">
        <w:t xml:space="preserve"> the referendum to extend </w:t>
      </w:r>
      <w:r w:rsidR="00E55775" w:rsidRPr="002A39B9">
        <w:t xml:space="preserve">to areas </w:t>
      </w:r>
      <w:r w:rsidRPr="002A39B9">
        <w:t xml:space="preserve">beyond the </w:t>
      </w:r>
      <w:r w:rsidR="005C2387" w:rsidRPr="002A39B9">
        <w:t>P</w:t>
      </w:r>
      <w:r w:rsidRPr="002A39B9">
        <w:t xml:space="preserve">lan boundary. </w:t>
      </w:r>
      <w:r w:rsidR="009C7AB3" w:rsidRPr="002A39B9">
        <w:t xml:space="preserve">I recommend that the boundary for the purposes of any future referendum on the </w:t>
      </w:r>
      <w:r w:rsidR="005C2387" w:rsidRPr="002A39B9">
        <w:t>P</w:t>
      </w:r>
      <w:r w:rsidR="009C7AB3" w:rsidRPr="002A39B9">
        <w:t>lan sh</w:t>
      </w:r>
      <w:r w:rsidR="00E55775" w:rsidRPr="002A39B9">
        <w:t>ou</w:t>
      </w:r>
      <w:r w:rsidR="009C7AB3" w:rsidRPr="002A39B9">
        <w:t>l</w:t>
      </w:r>
      <w:r w:rsidR="00E55775" w:rsidRPr="002A39B9">
        <w:t>d</w:t>
      </w:r>
      <w:r w:rsidR="009C7AB3" w:rsidRPr="002A39B9">
        <w:t xml:space="preserve"> be </w:t>
      </w:r>
      <w:r w:rsidR="00E55775" w:rsidRPr="002A39B9">
        <w:t xml:space="preserve">the boundary of the designated </w:t>
      </w:r>
      <w:r w:rsidR="005C2387" w:rsidRPr="002A39B9">
        <w:t>N</w:t>
      </w:r>
      <w:r w:rsidR="009C7AB3" w:rsidRPr="002A39B9">
        <w:t xml:space="preserve">eighbourhood </w:t>
      </w:r>
      <w:r w:rsidR="005C2387" w:rsidRPr="002A39B9">
        <w:t>P</w:t>
      </w:r>
      <w:r w:rsidR="009C7AB3" w:rsidRPr="002A39B9">
        <w:t xml:space="preserve">lan </w:t>
      </w:r>
      <w:r w:rsidR="005C2387" w:rsidRPr="002A39B9">
        <w:t>A</w:t>
      </w:r>
      <w:r w:rsidR="009C7AB3" w:rsidRPr="002A39B9">
        <w:t>rea</w:t>
      </w:r>
      <w:r w:rsidR="00D4654B" w:rsidRPr="002A39B9">
        <w:t>.</w:t>
      </w:r>
    </w:p>
    <w:p w14:paraId="65EE6EB3" w14:textId="2A17F1F2" w:rsidR="00D4654B" w:rsidRDefault="00D4654B" w:rsidP="00354872">
      <w:pPr>
        <w:ind w:left="0" w:firstLine="0"/>
        <w:jc w:val="left"/>
      </w:pPr>
    </w:p>
    <w:p w14:paraId="73A9AB6D" w14:textId="233EEE1B" w:rsidR="00A17E69" w:rsidRPr="00A17E69" w:rsidRDefault="00A17E69" w:rsidP="00354872">
      <w:pPr>
        <w:jc w:val="left"/>
        <w:rPr>
          <w:i/>
          <w:iCs/>
        </w:rPr>
      </w:pPr>
      <w:r w:rsidRPr="00A17E69">
        <w:rPr>
          <w:i/>
          <w:iCs/>
        </w:rPr>
        <w:t>Overview</w:t>
      </w:r>
    </w:p>
    <w:p w14:paraId="7494D47F" w14:textId="77777777" w:rsidR="00A17E69" w:rsidRDefault="00A17E69" w:rsidP="00354872">
      <w:pPr>
        <w:ind w:firstLine="0"/>
        <w:jc w:val="left"/>
      </w:pPr>
    </w:p>
    <w:p w14:paraId="0719B9B9" w14:textId="1B634FBD" w:rsidR="009A4728" w:rsidRDefault="0043181A" w:rsidP="00354872">
      <w:pPr>
        <w:ind w:left="720" w:hanging="720"/>
        <w:jc w:val="left"/>
      </w:pPr>
      <w:r>
        <w:t xml:space="preserve">5.4 </w:t>
      </w:r>
      <w:r w:rsidR="00A17E69">
        <w:tab/>
      </w:r>
      <w:r w:rsidR="00EC7B72">
        <w:t xml:space="preserve">QPCC </w:t>
      </w:r>
      <w:r w:rsidR="003B404B">
        <w:t xml:space="preserve">was established in May 2014 and has worked diligently since then to develop the Neighbourhood Plan.  </w:t>
      </w:r>
      <w:r w:rsidR="003212F4">
        <w:t>QPCC’s work has included (</w:t>
      </w:r>
      <w:proofErr w:type="spellStart"/>
      <w:r w:rsidR="003212F4">
        <w:t>i</w:t>
      </w:r>
      <w:proofErr w:type="spellEnd"/>
      <w:r w:rsidR="003212F4">
        <w:t>) data collection including s</w:t>
      </w:r>
      <w:r w:rsidR="007727B0">
        <w:t xml:space="preserve">urveys to understand the built environment, transport, civic amenities and </w:t>
      </w:r>
      <w:r w:rsidR="003212F4">
        <w:t xml:space="preserve">the </w:t>
      </w:r>
      <w:r w:rsidR="007727B0">
        <w:t xml:space="preserve">local economy; </w:t>
      </w:r>
      <w:r w:rsidR="003212F4">
        <w:t xml:space="preserve">(ii) </w:t>
      </w:r>
      <w:r w:rsidR="007727B0">
        <w:t xml:space="preserve">community engagement and </w:t>
      </w:r>
      <w:r w:rsidR="003212F4">
        <w:t xml:space="preserve">a series of </w:t>
      </w:r>
      <w:r w:rsidR="007727B0">
        <w:t xml:space="preserve">events to </w:t>
      </w:r>
      <w:r w:rsidR="003212F4">
        <w:t>appreciate</w:t>
      </w:r>
      <w:r w:rsidR="007727B0">
        <w:t xml:space="preserve"> and discuss people’s views about Queen’s Park; and</w:t>
      </w:r>
      <w:r w:rsidR="003212F4">
        <w:t xml:space="preserve"> (iii)</w:t>
      </w:r>
      <w:r w:rsidR="007727B0">
        <w:t xml:space="preserve"> </w:t>
      </w:r>
      <w:r w:rsidR="003212F4">
        <w:t xml:space="preserve">work on </w:t>
      </w:r>
      <w:r w:rsidR="007727B0">
        <w:t xml:space="preserve">plan preparation to develop a vision and objectives, with </w:t>
      </w:r>
      <w:r w:rsidR="003212F4">
        <w:t xml:space="preserve">subsequent </w:t>
      </w:r>
      <w:r w:rsidR="007727B0">
        <w:t>policies</w:t>
      </w:r>
      <w:r w:rsidR="003212F4">
        <w:t>,</w:t>
      </w:r>
      <w:r w:rsidR="007727B0">
        <w:t xml:space="preserve"> and </w:t>
      </w:r>
      <w:r w:rsidR="003212F4">
        <w:t xml:space="preserve">potential </w:t>
      </w:r>
      <w:r w:rsidR="007727B0">
        <w:t>projects</w:t>
      </w:r>
      <w:r w:rsidR="003212F4">
        <w:t xml:space="preserve"> to deliver the </w:t>
      </w:r>
      <w:r w:rsidR="00D847F7">
        <w:t>P</w:t>
      </w:r>
      <w:r w:rsidR="003212F4">
        <w:t xml:space="preserve">lan.  I appreciate that Queen’s Park is an intensively developed part of London with a large and diverse resident population.  I applaud QPCC for producing a Plan which aims to build on a strong sense of community, and deliver a place in the future where all people will be able to live and work together, making the most of the area’s assets. </w:t>
      </w:r>
      <w:r w:rsidR="007727B0">
        <w:t xml:space="preserve">   </w:t>
      </w:r>
    </w:p>
    <w:p w14:paraId="11B97BD5" w14:textId="77777777" w:rsidR="00156741" w:rsidRDefault="00156741" w:rsidP="00354872">
      <w:pPr>
        <w:ind w:left="0" w:firstLine="0"/>
        <w:jc w:val="left"/>
        <w:rPr>
          <w:rFonts w:ascii="Lucida Handwriting" w:hAnsi="Lucida Handwriting"/>
          <w:i/>
          <w:sz w:val="28"/>
          <w:szCs w:val="28"/>
        </w:rPr>
      </w:pPr>
    </w:p>
    <w:p w14:paraId="13D067C9" w14:textId="77777777" w:rsidR="009A4728" w:rsidRPr="009A4728" w:rsidRDefault="002A39B9" w:rsidP="00E55775">
      <w:pPr>
        <w:spacing w:line="259" w:lineRule="auto"/>
        <w:jc w:val="left"/>
        <w:rPr>
          <w:rFonts w:ascii="Lucida Handwriting" w:hAnsi="Lucida Handwriting"/>
          <w:i/>
          <w:sz w:val="28"/>
          <w:szCs w:val="28"/>
        </w:rPr>
      </w:pPr>
      <w:r>
        <w:rPr>
          <w:rFonts w:ascii="Lucida Handwriting" w:hAnsi="Lucida Handwriting"/>
          <w:i/>
          <w:sz w:val="28"/>
          <w:szCs w:val="28"/>
        </w:rPr>
        <w:t xml:space="preserve">Jill </w:t>
      </w:r>
      <w:proofErr w:type="spellStart"/>
      <w:r>
        <w:rPr>
          <w:rFonts w:ascii="Lucida Handwriting" w:hAnsi="Lucida Handwriting"/>
          <w:i/>
          <w:sz w:val="28"/>
          <w:szCs w:val="28"/>
        </w:rPr>
        <w:t>Kingaby</w:t>
      </w:r>
      <w:proofErr w:type="spellEnd"/>
    </w:p>
    <w:p w14:paraId="3D2A3AFC" w14:textId="77777777" w:rsidR="0043181A" w:rsidRDefault="0043181A" w:rsidP="00E55775">
      <w:pPr>
        <w:spacing w:line="259" w:lineRule="auto"/>
        <w:jc w:val="left"/>
      </w:pPr>
    </w:p>
    <w:p w14:paraId="1825B725" w14:textId="77777777" w:rsidR="009A4728" w:rsidRPr="009A4728" w:rsidRDefault="009A4728" w:rsidP="00E55775">
      <w:pPr>
        <w:spacing w:line="259" w:lineRule="auto"/>
        <w:jc w:val="left"/>
      </w:pPr>
      <w:r w:rsidRPr="009A4728">
        <w:t>Examiner</w:t>
      </w:r>
    </w:p>
    <w:p w14:paraId="7D3D9838" w14:textId="7531981A" w:rsidR="004F6F92" w:rsidRPr="00A759D5" w:rsidRDefault="00855C44" w:rsidP="00A759D5">
      <w:pPr>
        <w:spacing w:line="259" w:lineRule="auto"/>
        <w:jc w:val="left"/>
      </w:pPr>
      <w:r>
        <w:br w:type="page"/>
      </w:r>
      <w:r w:rsidR="004F6F92">
        <w:rPr>
          <w:b/>
        </w:rPr>
        <w:t xml:space="preserve">Appendix 1: </w:t>
      </w:r>
      <w:r w:rsidR="00A17E69" w:rsidRPr="0056421B">
        <w:rPr>
          <w:b/>
        </w:rPr>
        <w:t>Modifications</w:t>
      </w:r>
    </w:p>
    <w:p w14:paraId="1540B74C" w14:textId="77777777" w:rsidR="00A17E69" w:rsidRDefault="00A17E69">
      <w:pPr>
        <w:rPr>
          <w:b/>
        </w:rPr>
      </w:pPr>
    </w:p>
    <w:tbl>
      <w:tblPr>
        <w:tblStyle w:val="TableGrid"/>
        <w:tblW w:w="0" w:type="auto"/>
        <w:tblInd w:w="432" w:type="dxa"/>
        <w:tblLook w:val="04A0" w:firstRow="1" w:lastRow="0" w:firstColumn="1" w:lastColumn="0" w:noHBand="0" w:noVBand="1"/>
      </w:tblPr>
      <w:tblGrid>
        <w:gridCol w:w="2008"/>
        <w:gridCol w:w="1573"/>
        <w:gridCol w:w="5003"/>
      </w:tblGrid>
      <w:tr w:rsidR="003449D2" w:rsidRPr="003C5B31" w14:paraId="7475D688" w14:textId="77777777" w:rsidTr="003C5B31">
        <w:tc>
          <w:tcPr>
            <w:tcW w:w="0" w:type="auto"/>
          </w:tcPr>
          <w:p w14:paraId="011A2473" w14:textId="77777777" w:rsidR="003C5B31" w:rsidRPr="003C5B31" w:rsidRDefault="003C5B31" w:rsidP="00D249AC">
            <w:pPr>
              <w:spacing w:after="160" w:line="259" w:lineRule="auto"/>
              <w:ind w:left="0" w:firstLine="0"/>
              <w:jc w:val="left"/>
              <w:rPr>
                <w:b/>
              </w:rPr>
            </w:pPr>
            <w:r w:rsidRPr="003C5B31">
              <w:rPr>
                <w:b/>
              </w:rPr>
              <w:t>Proposed modification</w:t>
            </w:r>
            <w:r w:rsidR="00C76D91">
              <w:rPr>
                <w:b/>
              </w:rPr>
              <w:t xml:space="preserve"> number</w:t>
            </w:r>
            <w:r w:rsidRPr="003C5B31">
              <w:rPr>
                <w:b/>
              </w:rPr>
              <w:t xml:space="preserve"> (PM)</w:t>
            </w:r>
          </w:p>
        </w:tc>
        <w:tc>
          <w:tcPr>
            <w:tcW w:w="0" w:type="auto"/>
          </w:tcPr>
          <w:p w14:paraId="62F50ECA" w14:textId="77777777" w:rsidR="003C5B31" w:rsidRPr="003C5B31" w:rsidRDefault="003C5B31" w:rsidP="00D249AC">
            <w:pPr>
              <w:spacing w:after="160" w:line="259" w:lineRule="auto"/>
              <w:ind w:left="0" w:firstLine="0"/>
              <w:jc w:val="left"/>
              <w:rPr>
                <w:b/>
              </w:rPr>
            </w:pPr>
            <w:r w:rsidRPr="003C5B31">
              <w:rPr>
                <w:b/>
              </w:rPr>
              <w:t>Page no./ other reference</w:t>
            </w:r>
          </w:p>
        </w:tc>
        <w:tc>
          <w:tcPr>
            <w:tcW w:w="0" w:type="auto"/>
          </w:tcPr>
          <w:p w14:paraId="6E45525E" w14:textId="77777777" w:rsidR="003C5B31" w:rsidRPr="003C5B31" w:rsidRDefault="003C5B31" w:rsidP="00D249AC">
            <w:pPr>
              <w:spacing w:after="160" w:line="259" w:lineRule="auto"/>
              <w:ind w:left="0" w:firstLine="0"/>
              <w:jc w:val="left"/>
              <w:rPr>
                <w:b/>
              </w:rPr>
            </w:pPr>
            <w:r w:rsidRPr="003C5B31">
              <w:rPr>
                <w:b/>
              </w:rPr>
              <w:t>Modification</w:t>
            </w:r>
          </w:p>
        </w:tc>
      </w:tr>
      <w:tr w:rsidR="001C3B2B" w:rsidRPr="003C5B31" w14:paraId="2AB118FA" w14:textId="77777777" w:rsidTr="003C5B31">
        <w:tc>
          <w:tcPr>
            <w:tcW w:w="0" w:type="auto"/>
          </w:tcPr>
          <w:p w14:paraId="053D37FB" w14:textId="6D7C1688" w:rsidR="001C3B2B" w:rsidRPr="001C3B2B" w:rsidRDefault="001C3B2B" w:rsidP="00D249AC">
            <w:pPr>
              <w:spacing w:after="160" w:line="259" w:lineRule="auto"/>
              <w:ind w:left="0" w:firstLine="0"/>
              <w:jc w:val="left"/>
              <w:rPr>
                <w:bCs/>
              </w:rPr>
            </w:pPr>
            <w:r w:rsidRPr="001C3B2B">
              <w:rPr>
                <w:bCs/>
              </w:rPr>
              <w:t>PM1</w:t>
            </w:r>
          </w:p>
        </w:tc>
        <w:tc>
          <w:tcPr>
            <w:tcW w:w="0" w:type="auto"/>
          </w:tcPr>
          <w:p w14:paraId="18994ECF" w14:textId="4588B591" w:rsidR="001C3B2B" w:rsidRPr="001C3B2B" w:rsidRDefault="001C3B2B" w:rsidP="00D249AC">
            <w:pPr>
              <w:spacing w:after="160" w:line="259" w:lineRule="auto"/>
              <w:ind w:left="0" w:firstLine="0"/>
              <w:jc w:val="left"/>
              <w:rPr>
                <w:bCs/>
              </w:rPr>
            </w:pPr>
            <w:r w:rsidRPr="001C3B2B">
              <w:rPr>
                <w:bCs/>
              </w:rPr>
              <w:t>Whole Plan</w:t>
            </w:r>
          </w:p>
        </w:tc>
        <w:tc>
          <w:tcPr>
            <w:tcW w:w="0" w:type="auto"/>
          </w:tcPr>
          <w:p w14:paraId="4C711EA2" w14:textId="098C7BBA" w:rsidR="001C3B2B" w:rsidRPr="001C3B2B" w:rsidRDefault="001C3B2B" w:rsidP="00D249AC">
            <w:pPr>
              <w:spacing w:after="160" w:line="259" w:lineRule="auto"/>
              <w:ind w:left="0" w:firstLine="0"/>
              <w:jc w:val="left"/>
              <w:rPr>
                <w:bCs/>
              </w:rPr>
            </w:pPr>
            <w:r w:rsidRPr="001C3B2B">
              <w:rPr>
                <w:bCs/>
              </w:rPr>
              <w:t xml:space="preserve">Modify the submitted QPNP </w:t>
            </w:r>
            <w:r>
              <w:rPr>
                <w:bCs/>
              </w:rPr>
              <w:t xml:space="preserve">in accordance </w:t>
            </w:r>
            <w:r w:rsidRPr="001C3B2B">
              <w:rPr>
                <w:bCs/>
              </w:rPr>
              <w:t xml:space="preserve">with the changes proposed in </w:t>
            </w:r>
            <w:r>
              <w:rPr>
                <w:bCs/>
              </w:rPr>
              <w:t xml:space="preserve">Table 2 of </w:t>
            </w:r>
            <w:r w:rsidRPr="001C3B2B">
              <w:rPr>
                <w:bCs/>
              </w:rPr>
              <w:t>the SOCG (Appendix 2 to this report) incorporating any further amendments in PMs 2–9 below</w:t>
            </w:r>
            <w:r>
              <w:rPr>
                <w:bCs/>
              </w:rPr>
              <w:t>.</w:t>
            </w:r>
          </w:p>
        </w:tc>
      </w:tr>
      <w:tr w:rsidR="003449D2" w14:paraId="5A838754" w14:textId="77777777" w:rsidTr="003C5B31">
        <w:tc>
          <w:tcPr>
            <w:tcW w:w="0" w:type="auto"/>
          </w:tcPr>
          <w:p w14:paraId="67B41F4F" w14:textId="1AB88D53" w:rsidR="003C5B31" w:rsidRDefault="003C5B31" w:rsidP="00D249AC">
            <w:pPr>
              <w:spacing w:after="160" w:line="259" w:lineRule="auto"/>
              <w:ind w:left="0" w:firstLine="0"/>
              <w:jc w:val="left"/>
            </w:pPr>
            <w:r>
              <w:t>PM</w:t>
            </w:r>
            <w:r w:rsidR="00A759D5">
              <w:t>2</w:t>
            </w:r>
          </w:p>
        </w:tc>
        <w:tc>
          <w:tcPr>
            <w:tcW w:w="0" w:type="auto"/>
          </w:tcPr>
          <w:p w14:paraId="0421F5F1" w14:textId="77777777" w:rsidR="003C5B31" w:rsidRDefault="003C5B31" w:rsidP="004A07AF">
            <w:pPr>
              <w:spacing w:after="160" w:line="259" w:lineRule="auto"/>
              <w:ind w:left="0" w:firstLine="0"/>
              <w:jc w:val="left"/>
            </w:pPr>
            <w:r>
              <w:t xml:space="preserve">Page </w:t>
            </w:r>
            <w:r w:rsidR="004A07AF">
              <w:t>6</w:t>
            </w:r>
          </w:p>
          <w:p w14:paraId="25E4C2AB" w14:textId="77777777" w:rsidR="004A07AF" w:rsidRDefault="004A07AF" w:rsidP="004A07AF">
            <w:pPr>
              <w:spacing w:after="160" w:line="259" w:lineRule="auto"/>
              <w:ind w:left="0" w:firstLine="0"/>
              <w:jc w:val="left"/>
            </w:pPr>
          </w:p>
          <w:p w14:paraId="540CE2BA" w14:textId="77777777" w:rsidR="004A07AF" w:rsidRDefault="004A07AF" w:rsidP="004A07AF">
            <w:pPr>
              <w:spacing w:after="160" w:line="259" w:lineRule="auto"/>
              <w:ind w:left="0" w:firstLine="0"/>
              <w:jc w:val="left"/>
            </w:pPr>
          </w:p>
          <w:p w14:paraId="4D4F8DD6" w14:textId="77777777" w:rsidR="00494AFE" w:rsidRDefault="00494AFE" w:rsidP="00494AFE">
            <w:pPr>
              <w:spacing w:after="160" w:line="259" w:lineRule="auto"/>
              <w:ind w:left="0" w:firstLine="0"/>
              <w:jc w:val="left"/>
            </w:pPr>
          </w:p>
          <w:p w14:paraId="3E3820C5" w14:textId="2E13EBF3" w:rsidR="004A07AF" w:rsidRDefault="004A07AF" w:rsidP="00494AFE">
            <w:pPr>
              <w:spacing w:before="280" w:after="160" w:line="259" w:lineRule="auto"/>
              <w:ind w:left="0" w:firstLine="0"/>
              <w:jc w:val="left"/>
            </w:pPr>
            <w:r>
              <w:t xml:space="preserve">Page </w:t>
            </w:r>
            <w:r w:rsidR="00AE6BE8">
              <w:t>7</w:t>
            </w:r>
          </w:p>
          <w:p w14:paraId="0A4DF5AB" w14:textId="77777777" w:rsidR="00AE6BE8" w:rsidRDefault="00AE6BE8" w:rsidP="00AE6BE8">
            <w:pPr>
              <w:spacing w:after="160" w:line="259" w:lineRule="auto"/>
              <w:ind w:left="0" w:firstLine="0"/>
              <w:jc w:val="left"/>
            </w:pPr>
          </w:p>
          <w:p w14:paraId="1A9EB6EC" w14:textId="77777777" w:rsidR="00C66442" w:rsidRDefault="00C66442" w:rsidP="00AE6BE8">
            <w:pPr>
              <w:spacing w:after="160" w:line="259" w:lineRule="auto"/>
              <w:ind w:left="0" w:firstLine="0"/>
              <w:jc w:val="left"/>
            </w:pPr>
          </w:p>
          <w:p w14:paraId="2F33BE59" w14:textId="00012C4E" w:rsidR="00AE6BE8" w:rsidRDefault="00AE6BE8" w:rsidP="00494AFE">
            <w:pPr>
              <w:spacing w:before="280" w:after="160" w:line="259" w:lineRule="auto"/>
              <w:ind w:left="0" w:firstLine="0"/>
              <w:jc w:val="left"/>
            </w:pPr>
            <w:r>
              <w:t>Page 14</w:t>
            </w:r>
          </w:p>
          <w:p w14:paraId="6F1A2C81" w14:textId="77777777" w:rsidR="00AE6BE8" w:rsidRDefault="00AE6BE8" w:rsidP="00AE6BE8">
            <w:pPr>
              <w:spacing w:after="160" w:line="259" w:lineRule="auto"/>
              <w:ind w:left="0" w:firstLine="0"/>
              <w:jc w:val="left"/>
            </w:pPr>
          </w:p>
        </w:tc>
        <w:tc>
          <w:tcPr>
            <w:tcW w:w="0" w:type="auto"/>
          </w:tcPr>
          <w:p w14:paraId="5A2A3857" w14:textId="77777777" w:rsidR="003C5B31" w:rsidRDefault="004A07AF" w:rsidP="00E0560F">
            <w:pPr>
              <w:spacing w:after="160" w:line="259" w:lineRule="auto"/>
              <w:ind w:left="0" w:firstLine="0"/>
              <w:jc w:val="left"/>
            </w:pPr>
            <w:r>
              <w:t>Queen’s Park Community Council Vision</w:t>
            </w:r>
          </w:p>
          <w:p w14:paraId="20C0359A" w14:textId="77777777" w:rsidR="004A07AF" w:rsidRDefault="004A07AF" w:rsidP="00E0560F">
            <w:pPr>
              <w:spacing w:after="160" w:line="259" w:lineRule="auto"/>
              <w:ind w:left="0" w:firstLine="0"/>
              <w:jc w:val="left"/>
            </w:pPr>
            <w:r>
              <w:t xml:space="preserve">A Queen’s Park that we are proud of </w:t>
            </w:r>
            <w:proofErr w:type="gramStart"/>
            <w:r>
              <w:t>.....</w:t>
            </w:r>
            <w:proofErr w:type="gramEnd"/>
          </w:p>
          <w:p w14:paraId="08D5202D" w14:textId="77777777" w:rsidR="004A07AF" w:rsidRDefault="004A07AF" w:rsidP="00E0560F">
            <w:pPr>
              <w:spacing w:after="160" w:line="259" w:lineRule="auto"/>
              <w:ind w:left="0" w:firstLine="0"/>
              <w:jc w:val="left"/>
            </w:pPr>
            <w:r>
              <w:t xml:space="preserve">a community that works towards making this </w:t>
            </w:r>
            <w:r>
              <w:rPr>
                <w:strike/>
              </w:rPr>
              <w:t xml:space="preserve">a low carbon area </w:t>
            </w:r>
            <w:r>
              <w:rPr>
                <w:b/>
                <w:i/>
              </w:rPr>
              <w:t>an area with net zero carbon emissions.</w:t>
            </w:r>
            <w:r>
              <w:t xml:space="preserve"> .....</w:t>
            </w:r>
          </w:p>
          <w:p w14:paraId="7E150502" w14:textId="18E6F0BB" w:rsidR="00AE6BE8" w:rsidRDefault="00AE6BE8" w:rsidP="00E0560F">
            <w:pPr>
              <w:spacing w:after="160" w:line="259" w:lineRule="auto"/>
              <w:ind w:left="0" w:firstLine="0"/>
              <w:jc w:val="left"/>
            </w:pPr>
            <w:r>
              <w:t>Why Queen’s Park needs a neighbourhood plan</w:t>
            </w:r>
          </w:p>
          <w:p w14:paraId="075033A8" w14:textId="77BEA4EC" w:rsidR="00C66442" w:rsidRDefault="00AE6BE8" w:rsidP="00E0560F">
            <w:pPr>
              <w:spacing w:after="160" w:line="259" w:lineRule="auto"/>
              <w:ind w:left="0" w:firstLine="0"/>
              <w:jc w:val="left"/>
            </w:pPr>
            <w:r>
              <w:t xml:space="preserve">1.3 It is divided into </w:t>
            </w:r>
            <w:r>
              <w:rPr>
                <w:strike/>
              </w:rPr>
              <w:t xml:space="preserve">four </w:t>
            </w:r>
            <w:r>
              <w:rPr>
                <w:b/>
                <w:i/>
              </w:rPr>
              <w:t xml:space="preserve">five </w:t>
            </w:r>
            <w:r>
              <w:t xml:space="preserve">character areas </w:t>
            </w:r>
            <w:proofErr w:type="gramStart"/>
            <w:r>
              <w:t>.....</w:t>
            </w:r>
            <w:proofErr w:type="gramEnd"/>
          </w:p>
          <w:p w14:paraId="255C9DFC" w14:textId="207017DD" w:rsidR="004A07AF" w:rsidRDefault="004A07AF" w:rsidP="00E0560F">
            <w:pPr>
              <w:spacing w:after="160" w:line="259" w:lineRule="auto"/>
              <w:ind w:left="0" w:firstLine="0"/>
              <w:jc w:val="left"/>
            </w:pPr>
            <w:r>
              <w:t>Policy objectives</w:t>
            </w:r>
          </w:p>
          <w:p w14:paraId="6D25960D" w14:textId="77777777" w:rsidR="004A07AF" w:rsidRDefault="004A07AF" w:rsidP="00E0560F">
            <w:pPr>
              <w:spacing w:after="160" w:line="259" w:lineRule="auto"/>
              <w:ind w:left="0" w:firstLine="0"/>
              <w:jc w:val="left"/>
            </w:pPr>
            <w:r>
              <w:t>3. Respect and safeguard our neighbourhood’s heritage and character ....</w:t>
            </w:r>
          </w:p>
          <w:p w14:paraId="55FA51D4" w14:textId="77777777" w:rsidR="004A07AF" w:rsidRDefault="00FA0C51" w:rsidP="00E0560F">
            <w:pPr>
              <w:spacing w:after="160" w:line="259" w:lineRule="auto"/>
              <w:ind w:left="0" w:firstLine="0"/>
              <w:jc w:val="left"/>
            </w:pPr>
            <w:r>
              <w:t>(3</w:t>
            </w:r>
            <w:r w:rsidRPr="00FA0C51">
              <w:rPr>
                <w:vertAlign w:val="superscript"/>
              </w:rPr>
              <w:t>rd</w:t>
            </w:r>
            <w:r>
              <w:t xml:space="preserve"> bullet point) </w:t>
            </w:r>
          </w:p>
          <w:p w14:paraId="7F221B70" w14:textId="77777777" w:rsidR="00FA0C51" w:rsidRPr="004A07AF" w:rsidRDefault="00FA0C51" w:rsidP="00FA0C51">
            <w:pPr>
              <w:pStyle w:val="ListParagraph"/>
              <w:numPr>
                <w:ilvl w:val="0"/>
                <w:numId w:val="13"/>
              </w:numPr>
              <w:spacing w:after="160" w:line="259" w:lineRule="auto"/>
              <w:jc w:val="left"/>
            </w:pPr>
            <w:r>
              <w:t xml:space="preserve">Support upgrades to the building fabric .... and </w:t>
            </w:r>
            <w:r>
              <w:rPr>
                <w:strike/>
              </w:rPr>
              <w:t xml:space="preserve">a low carbon agenda </w:t>
            </w:r>
            <w:r>
              <w:rPr>
                <w:b/>
                <w:i/>
              </w:rPr>
              <w:t>the achievement of net zero carbon emissions</w:t>
            </w:r>
            <w:r>
              <w:t xml:space="preserve"> whilst </w:t>
            </w:r>
            <w:proofErr w:type="gramStart"/>
            <w:r>
              <w:t>.....</w:t>
            </w:r>
            <w:proofErr w:type="gramEnd"/>
          </w:p>
        </w:tc>
      </w:tr>
      <w:tr w:rsidR="003449D2" w14:paraId="76C065BC" w14:textId="77777777" w:rsidTr="003C5B31">
        <w:tc>
          <w:tcPr>
            <w:tcW w:w="0" w:type="auto"/>
          </w:tcPr>
          <w:p w14:paraId="02EB943C" w14:textId="2060B128" w:rsidR="003C5B31" w:rsidRDefault="003C5B31" w:rsidP="00D249AC">
            <w:pPr>
              <w:spacing w:after="160" w:line="259" w:lineRule="auto"/>
              <w:ind w:left="0" w:firstLine="0"/>
              <w:jc w:val="left"/>
            </w:pPr>
            <w:r>
              <w:t>PM</w:t>
            </w:r>
            <w:r w:rsidR="00A759D5">
              <w:t>3</w:t>
            </w:r>
          </w:p>
        </w:tc>
        <w:tc>
          <w:tcPr>
            <w:tcW w:w="0" w:type="auto"/>
          </w:tcPr>
          <w:p w14:paraId="22A278CC" w14:textId="77777777" w:rsidR="003C5B31" w:rsidRDefault="003C5B31" w:rsidP="008E2E51">
            <w:pPr>
              <w:spacing w:after="160" w:line="259" w:lineRule="auto"/>
              <w:ind w:left="0" w:firstLine="0"/>
              <w:jc w:val="left"/>
            </w:pPr>
            <w:r>
              <w:t xml:space="preserve">Page </w:t>
            </w:r>
            <w:r w:rsidR="008E2E51">
              <w:t>10</w:t>
            </w:r>
          </w:p>
        </w:tc>
        <w:tc>
          <w:tcPr>
            <w:tcW w:w="0" w:type="auto"/>
          </w:tcPr>
          <w:p w14:paraId="4E00EA06" w14:textId="77777777" w:rsidR="003C5B31" w:rsidRDefault="008E2E51" w:rsidP="00E0560F">
            <w:pPr>
              <w:spacing w:after="160" w:line="259" w:lineRule="auto"/>
              <w:jc w:val="left"/>
            </w:pPr>
            <w:r>
              <w:t>Local planning context</w:t>
            </w:r>
          </w:p>
          <w:p w14:paraId="141ED6B4" w14:textId="46A4767E" w:rsidR="008E2E51" w:rsidRDefault="008E2E51" w:rsidP="00C66442">
            <w:pPr>
              <w:spacing w:after="160" w:line="259" w:lineRule="auto"/>
              <w:ind w:left="0" w:firstLine="0"/>
              <w:jc w:val="left"/>
            </w:pPr>
            <w:r>
              <w:t xml:space="preserve">Move </w:t>
            </w:r>
            <w:r w:rsidR="003F1207">
              <w:t>t</w:t>
            </w:r>
            <w:r>
              <w:t>he Neighbourhood Plan area map and supporting text, currently shown in Annex 1, Pages 42 and 43, to section 1. Introduction of the Plan.</w:t>
            </w:r>
          </w:p>
          <w:p w14:paraId="7E1F67CA" w14:textId="77777777" w:rsidR="00580858" w:rsidRDefault="00580858" w:rsidP="00C66442">
            <w:pPr>
              <w:spacing w:after="160" w:line="259" w:lineRule="auto"/>
              <w:ind w:left="17" w:hanging="17"/>
              <w:jc w:val="left"/>
            </w:pPr>
            <w:r>
              <w:t xml:space="preserve">Modify the third sentence on Page </w:t>
            </w:r>
            <w:r w:rsidR="00CD74B0">
              <w:t>4</w:t>
            </w:r>
            <w:r>
              <w:t xml:space="preserve">3 to read: </w:t>
            </w:r>
          </w:p>
          <w:p w14:paraId="15DDBDA0" w14:textId="77777777" w:rsidR="00580858" w:rsidRPr="00580858" w:rsidRDefault="00580858" w:rsidP="00C66442">
            <w:pPr>
              <w:spacing w:after="160" w:line="259" w:lineRule="auto"/>
              <w:ind w:left="17" w:hanging="17"/>
              <w:jc w:val="left"/>
            </w:pPr>
            <w:r>
              <w:t xml:space="preserve">The area is enclosed by Kilburn Lane to the north and west, </w:t>
            </w:r>
            <w:proofErr w:type="gramStart"/>
            <w:r>
              <w:t>.....</w:t>
            </w:r>
            <w:proofErr w:type="spellStart"/>
            <w:proofErr w:type="gramEnd"/>
            <w:r>
              <w:t>Fernhead</w:t>
            </w:r>
            <w:proofErr w:type="spellEnd"/>
            <w:r>
              <w:t xml:space="preserve"> Road and </w:t>
            </w:r>
            <w:proofErr w:type="spellStart"/>
            <w:r>
              <w:t>Portnall</w:t>
            </w:r>
            <w:proofErr w:type="spellEnd"/>
            <w:r>
              <w:t xml:space="preserve"> Road to the </w:t>
            </w:r>
            <w:r>
              <w:rPr>
                <w:strike/>
              </w:rPr>
              <w:t xml:space="preserve">west </w:t>
            </w:r>
            <w:r>
              <w:rPr>
                <w:b/>
                <w:i/>
              </w:rPr>
              <w:t xml:space="preserve">east. </w:t>
            </w:r>
            <w:r>
              <w:t>....</w:t>
            </w:r>
          </w:p>
        </w:tc>
      </w:tr>
      <w:tr w:rsidR="003449D2" w14:paraId="246204AE" w14:textId="77777777" w:rsidTr="003C5B31">
        <w:tc>
          <w:tcPr>
            <w:tcW w:w="0" w:type="auto"/>
          </w:tcPr>
          <w:p w14:paraId="4E0BC97E" w14:textId="1856D94F" w:rsidR="003C5B31" w:rsidRDefault="003C5B31" w:rsidP="00D249AC">
            <w:pPr>
              <w:spacing w:after="160" w:line="259" w:lineRule="auto"/>
              <w:ind w:left="0" w:firstLine="0"/>
              <w:jc w:val="left"/>
            </w:pPr>
            <w:r>
              <w:t>PM</w:t>
            </w:r>
            <w:r w:rsidR="00A759D5">
              <w:t>4</w:t>
            </w:r>
          </w:p>
        </w:tc>
        <w:tc>
          <w:tcPr>
            <w:tcW w:w="0" w:type="auto"/>
          </w:tcPr>
          <w:p w14:paraId="353DCBB4" w14:textId="77777777" w:rsidR="005F1BAA" w:rsidRDefault="003C5B31" w:rsidP="00D249AC">
            <w:pPr>
              <w:spacing w:after="160" w:line="259" w:lineRule="auto"/>
              <w:ind w:left="0" w:firstLine="0"/>
              <w:jc w:val="left"/>
            </w:pPr>
            <w:r>
              <w:t xml:space="preserve">Page </w:t>
            </w:r>
            <w:r w:rsidR="009630D4">
              <w:t>18</w:t>
            </w:r>
          </w:p>
          <w:p w14:paraId="1EBC8592" w14:textId="77777777" w:rsidR="003C5B31" w:rsidRDefault="003C5B31" w:rsidP="00D249AC">
            <w:pPr>
              <w:spacing w:after="160" w:line="259" w:lineRule="auto"/>
              <w:ind w:left="0" w:firstLine="0"/>
              <w:jc w:val="left"/>
            </w:pPr>
          </w:p>
        </w:tc>
        <w:tc>
          <w:tcPr>
            <w:tcW w:w="0" w:type="auto"/>
          </w:tcPr>
          <w:p w14:paraId="415CE8F6" w14:textId="52239B63" w:rsidR="003C5B31" w:rsidRPr="009630D4" w:rsidRDefault="009630D4" w:rsidP="009630D4">
            <w:pPr>
              <w:spacing w:after="160" w:line="259" w:lineRule="auto"/>
              <w:ind w:left="62" w:hanging="7"/>
              <w:jc w:val="left"/>
            </w:pPr>
            <w:r w:rsidRPr="009630D4">
              <w:t xml:space="preserve">2.4 </w:t>
            </w:r>
            <w:proofErr w:type="gramStart"/>
            <w:r>
              <w:t>A number of</w:t>
            </w:r>
            <w:proofErr w:type="gramEnd"/>
            <w:r>
              <w:t xml:space="preserve"> community facilities have been identified in the original research on Queen’s Park that provide key benefits to the local community.  </w:t>
            </w:r>
            <w:r w:rsidRPr="00EB4D66">
              <w:rPr>
                <w:b/>
                <w:i/>
              </w:rPr>
              <w:t>Annex 1 provides information on the location of amenities (Pages 50-51), amenity and social infrastructure (Pages 64-67) and local shops (Pages 82-83).</w:t>
            </w:r>
            <w:r w:rsidR="00AF322E">
              <w:rPr>
                <w:rStyle w:val="FootnoteReference"/>
                <w:b/>
                <w:i/>
              </w:rPr>
              <w:footnoteReference w:id="10"/>
            </w:r>
          </w:p>
        </w:tc>
      </w:tr>
      <w:tr w:rsidR="003449D2" w14:paraId="15EB8400" w14:textId="77777777" w:rsidTr="003C5B31">
        <w:tc>
          <w:tcPr>
            <w:tcW w:w="0" w:type="auto"/>
          </w:tcPr>
          <w:p w14:paraId="5F5A3C7C" w14:textId="3CD2E57F" w:rsidR="003C5B31" w:rsidRDefault="00A54F99" w:rsidP="00D249AC">
            <w:pPr>
              <w:spacing w:after="160" w:line="259" w:lineRule="auto"/>
              <w:ind w:left="0" w:firstLine="0"/>
              <w:jc w:val="left"/>
            </w:pPr>
            <w:r>
              <w:t>PM</w:t>
            </w:r>
            <w:r w:rsidR="00A759D5">
              <w:t>5</w:t>
            </w:r>
          </w:p>
        </w:tc>
        <w:tc>
          <w:tcPr>
            <w:tcW w:w="0" w:type="auto"/>
          </w:tcPr>
          <w:p w14:paraId="23CF4082" w14:textId="77777777" w:rsidR="003C5B31" w:rsidRDefault="00A54F99" w:rsidP="00D249AC">
            <w:pPr>
              <w:spacing w:after="160" w:line="259" w:lineRule="auto"/>
              <w:ind w:left="0" w:firstLine="0"/>
              <w:jc w:val="left"/>
            </w:pPr>
            <w:r>
              <w:t>Page 20</w:t>
            </w:r>
          </w:p>
        </w:tc>
        <w:tc>
          <w:tcPr>
            <w:tcW w:w="0" w:type="auto"/>
          </w:tcPr>
          <w:p w14:paraId="60EA7E70" w14:textId="77777777" w:rsidR="003C5B31" w:rsidRDefault="00A54F99" w:rsidP="00E0560F">
            <w:pPr>
              <w:spacing w:after="160" w:line="259" w:lineRule="auto"/>
              <w:jc w:val="left"/>
            </w:pPr>
            <w:r>
              <w:t>Paragraph 2.8</w:t>
            </w:r>
          </w:p>
          <w:p w14:paraId="1F0165E8" w14:textId="77777777" w:rsidR="00A54F99" w:rsidRDefault="00A54F99" w:rsidP="00C66442">
            <w:pPr>
              <w:spacing w:after="160" w:line="259" w:lineRule="auto"/>
              <w:ind w:left="0" w:firstLine="0"/>
              <w:jc w:val="left"/>
            </w:pPr>
            <w:r>
              <w:t xml:space="preserve">There are few green spaces within the QPCC Neighbourhood Plan area.  The evidence base (see </w:t>
            </w:r>
            <w:r>
              <w:rPr>
                <w:strike/>
              </w:rPr>
              <w:t xml:space="preserve">Appendix A </w:t>
            </w:r>
            <w:r w:rsidRPr="00A54F99">
              <w:rPr>
                <w:b/>
                <w:i/>
              </w:rPr>
              <w:t>Annex</w:t>
            </w:r>
            <w:r>
              <w:rPr>
                <w:b/>
                <w:i/>
              </w:rPr>
              <w:t xml:space="preserve"> 1, pages 66 – 71</w:t>
            </w:r>
            <w:r>
              <w:t xml:space="preserve">) notes that </w:t>
            </w:r>
            <w:proofErr w:type="gramStart"/>
            <w:r>
              <w:t>.....</w:t>
            </w:r>
            <w:proofErr w:type="gramEnd"/>
          </w:p>
          <w:p w14:paraId="13AF393F" w14:textId="77777777" w:rsidR="00FD22F7" w:rsidRDefault="00FD22F7" w:rsidP="00E0560F">
            <w:pPr>
              <w:spacing w:after="160" w:line="259" w:lineRule="auto"/>
              <w:jc w:val="left"/>
              <w:rPr>
                <w:i/>
              </w:rPr>
            </w:pPr>
            <w:r>
              <w:t xml:space="preserve">Policy 3 </w:t>
            </w:r>
            <w:r>
              <w:rPr>
                <w:i/>
              </w:rPr>
              <w:t>Residential gardens</w:t>
            </w:r>
          </w:p>
          <w:p w14:paraId="4433CFB2" w14:textId="58BFE48A" w:rsidR="00B02201" w:rsidRDefault="00FD22F7" w:rsidP="00C66442">
            <w:pPr>
              <w:spacing w:after="160" w:line="259" w:lineRule="auto"/>
              <w:ind w:left="17" w:hanging="17"/>
              <w:jc w:val="left"/>
            </w:pPr>
            <w:r>
              <w:t xml:space="preserve">Development </w:t>
            </w:r>
            <w:r w:rsidRPr="00820946">
              <w:rPr>
                <w:bCs/>
                <w:iCs/>
              </w:rPr>
              <w:t>which</w:t>
            </w:r>
            <w:r w:rsidRPr="001D340A">
              <w:rPr>
                <w:b/>
                <w:i/>
              </w:rPr>
              <w:t xml:space="preserve"> requires planning permission and would</w:t>
            </w:r>
            <w:r>
              <w:t xml:space="preserve"> result</w:t>
            </w:r>
            <w:r w:rsidR="001D340A">
              <w:rPr>
                <w:strike/>
              </w:rPr>
              <w:t>s</w:t>
            </w:r>
            <w:r>
              <w:t xml:space="preserve"> in the </w:t>
            </w:r>
            <w:r w:rsidRPr="001D340A">
              <w:rPr>
                <w:b/>
                <w:i/>
              </w:rPr>
              <w:t>significant</w:t>
            </w:r>
            <w:r>
              <w:t xml:space="preserve"> loss of</w:t>
            </w:r>
            <w:r w:rsidR="00820946">
              <w:t xml:space="preserve"> private </w:t>
            </w:r>
            <w:r>
              <w:t>residential garden</w:t>
            </w:r>
            <w:r w:rsidR="001D340A">
              <w:rPr>
                <w:strike/>
              </w:rPr>
              <w:t>s</w:t>
            </w:r>
            <w:r>
              <w:t xml:space="preserve"> </w:t>
            </w:r>
            <w:r w:rsidRPr="001D340A">
              <w:rPr>
                <w:b/>
                <w:i/>
              </w:rPr>
              <w:t>space</w:t>
            </w:r>
            <w:r>
              <w:t xml:space="preserve"> will not be permitted.</w:t>
            </w:r>
          </w:p>
          <w:p w14:paraId="12B3C725" w14:textId="77777777" w:rsidR="00FD22F7" w:rsidRPr="00FD22F7" w:rsidRDefault="00B02201" w:rsidP="00C66442">
            <w:pPr>
              <w:spacing w:after="160" w:line="259" w:lineRule="auto"/>
              <w:ind w:left="17" w:hanging="17"/>
              <w:jc w:val="left"/>
            </w:pPr>
            <w:r>
              <w:t xml:space="preserve">Development </w:t>
            </w:r>
            <w:r w:rsidR="00703466" w:rsidRPr="001D340A">
              <w:rPr>
                <w:b/>
                <w:i/>
              </w:rPr>
              <w:t xml:space="preserve">in the curtilage of a residential property </w:t>
            </w:r>
            <w:r w:rsidRPr="001D340A">
              <w:rPr>
                <w:b/>
                <w:i/>
              </w:rPr>
              <w:t>which requires planning permission</w:t>
            </w:r>
            <w:r>
              <w:t xml:space="preserve"> </w:t>
            </w:r>
            <w:r w:rsidR="00703466">
              <w:t>s</w:t>
            </w:r>
            <w:r>
              <w:t xml:space="preserve">hould </w:t>
            </w:r>
            <w:r w:rsidR="001D340A">
              <w:rPr>
                <w:strike/>
              </w:rPr>
              <w:t xml:space="preserve">preserve significant green </w:t>
            </w:r>
            <w:proofErr w:type="gramStart"/>
            <w:r w:rsidR="001D340A">
              <w:rPr>
                <w:strike/>
              </w:rPr>
              <w:t xml:space="preserve">space  </w:t>
            </w:r>
            <w:r w:rsidR="00703466">
              <w:t>retain</w:t>
            </w:r>
            <w:proofErr w:type="gramEnd"/>
            <w:r>
              <w:t xml:space="preserve"> </w:t>
            </w:r>
            <w:r w:rsidRPr="001D340A">
              <w:rPr>
                <w:b/>
                <w:i/>
              </w:rPr>
              <w:t xml:space="preserve">some </w:t>
            </w:r>
            <w:r w:rsidR="00703466" w:rsidRPr="001D340A">
              <w:rPr>
                <w:b/>
                <w:i/>
              </w:rPr>
              <w:t>outdoor</w:t>
            </w:r>
            <w:r w:rsidRPr="001D340A">
              <w:rPr>
                <w:b/>
                <w:i/>
              </w:rPr>
              <w:t xml:space="preserve"> </w:t>
            </w:r>
            <w:r w:rsidR="00E043D8">
              <w:rPr>
                <w:b/>
                <w:i/>
              </w:rPr>
              <w:t xml:space="preserve">garden </w:t>
            </w:r>
            <w:r w:rsidRPr="001D340A">
              <w:rPr>
                <w:b/>
                <w:i/>
              </w:rPr>
              <w:t>space for use by occupiers</w:t>
            </w:r>
            <w:r w:rsidR="00557990">
              <w:rPr>
                <w:b/>
                <w:i/>
              </w:rPr>
              <w:t xml:space="preserve"> where possible</w:t>
            </w:r>
            <w:r>
              <w:t>,</w:t>
            </w:r>
            <w:r w:rsidR="00557990">
              <w:rPr>
                <w:b/>
                <w:i/>
              </w:rPr>
              <w:t xml:space="preserve"> should</w:t>
            </w:r>
            <w:r>
              <w:t xml:space="preserve"> ensure sustainable drainage, and maintain or enhance </w:t>
            </w:r>
            <w:r w:rsidR="001D340A" w:rsidRPr="001D340A">
              <w:rPr>
                <w:strike/>
              </w:rPr>
              <w:t>the</w:t>
            </w:r>
            <w:r w:rsidR="001D340A">
              <w:t xml:space="preserve"> </w:t>
            </w:r>
            <w:r>
              <w:t>biodiversity</w:t>
            </w:r>
            <w:r w:rsidR="007072E6">
              <w:t>.</w:t>
            </w:r>
            <w:r w:rsidR="001D340A">
              <w:t xml:space="preserve"> </w:t>
            </w:r>
            <w:r w:rsidR="001D340A" w:rsidRPr="001D340A">
              <w:rPr>
                <w:strike/>
              </w:rPr>
              <w:t>of the space</w:t>
            </w:r>
            <w:r w:rsidRPr="001D340A">
              <w:rPr>
                <w:strike/>
              </w:rPr>
              <w:t>.</w:t>
            </w:r>
            <w:r>
              <w:t xml:space="preserve"> </w:t>
            </w:r>
            <w:r w:rsidR="00FD22F7">
              <w:t xml:space="preserve"> </w:t>
            </w:r>
          </w:p>
        </w:tc>
      </w:tr>
      <w:tr w:rsidR="00E21D97" w14:paraId="32DE91F5" w14:textId="77777777" w:rsidTr="003C5B31">
        <w:tc>
          <w:tcPr>
            <w:tcW w:w="0" w:type="auto"/>
          </w:tcPr>
          <w:p w14:paraId="0733B843" w14:textId="01D686DB" w:rsidR="00E21D97" w:rsidRDefault="00E21D97" w:rsidP="00D249AC">
            <w:pPr>
              <w:spacing w:after="160" w:line="259" w:lineRule="auto"/>
              <w:ind w:left="0" w:firstLine="0"/>
              <w:jc w:val="left"/>
            </w:pPr>
            <w:r>
              <w:t>PM</w:t>
            </w:r>
            <w:r w:rsidR="00A759D5">
              <w:t>6</w:t>
            </w:r>
          </w:p>
        </w:tc>
        <w:tc>
          <w:tcPr>
            <w:tcW w:w="0" w:type="auto"/>
          </w:tcPr>
          <w:p w14:paraId="6630A805" w14:textId="77777777" w:rsidR="00E21D97" w:rsidRDefault="00E21D97" w:rsidP="00D249AC">
            <w:pPr>
              <w:spacing w:after="160" w:line="259" w:lineRule="auto"/>
              <w:ind w:left="0" w:firstLine="0"/>
              <w:jc w:val="left"/>
            </w:pPr>
            <w:r>
              <w:t>Page 25</w:t>
            </w:r>
          </w:p>
        </w:tc>
        <w:tc>
          <w:tcPr>
            <w:tcW w:w="0" w:type="auto"/>
          </w:tcPr>
          <w:p w14:paraId="73AAC52B" w14:textId="77777777" w:rsidR="00E21D97" w:rsidRDefault="00E21D97" w:rsidP="00E0560F">
            <w:pPr>
              <w:spacing w:after="160" w:line="259" w:lineRule="auto"/>
              <w:jc w:val="left"/>
            </w:pPr>
            <w:r>
              <w:t>After paragraph 2.26, add:</w:t>
            </w:r>
          </w:p>
          <w:p w14:paraId="795AFE66" w14:textId="65A1278D" w:rsidR="00E21D97" w:rsidRPr="002A0D0A" w:rsidRDefault="00E21D97" w:rsidP="00C66442">
            <w:pPr>
              <w:spacing w:after="160" w:line="259" w:lineRule="auto"/>
              <w:ind w:left="17" w:hanging="17"/>
              <w:jc w:val="left"/>
              <w:rPr>
                <w:b/>
                <w:i/>
              </w:rPr>
            </w:pPr>
            <w:r w:rsidRPr="002A0D0A">
              <w:rPr>
                <w:b/>
                <w:i/>
              </w:rPr>
              <w:t xml:space="preserve">Developers are encouraged to engage with stakeholders including Thames Water ahead of the submission of applications to discuss the infrastructure requirements for development, to help ensure that development is aligned with any necessary infrastructure upgrades required. </w:t>
            </w:r>
          </w:p>
        </w:tc>
      </w:tr>
      <w:tr w:rsidR="003449D2" w14:paraId="18751ED1" w14:textId="77777777" w:rsidTr="003C5B31">
        <w:tc>
          <w:tcPr>
            <w:tcW w:w="0" w:type="auto"/>
          </w:tcPr>
          <w:p w14:paraId="1F922412" w14:textId="0A8A33BC" w:rsidR="00554CC9" w:rsidRDefault="0043274B" w:rsidP="00D249AC">
            <w:pPr>
              <w:spacing w:after="160" w:line="259" w:lineRule="auto"/>
              <w:ind w:left="0" w:firstLine="0"/>
              <w:jc w:val="left"/>
            </w:pPr>
            <w:r>
              <w:t>PM</w:t>
            </w:r>
            <w:r w:rsidR="00A759D5">
              <w:t>7</w:t>
            </w:r>
          </w:p>
        </w:tc>
        <w:tc>
          <w:tcPr>
            <w:tcW w:w="0" w:type="auto"/>
          </w:tcPr>
          <w:p w14:paraId="447E85A1" w14:textId="77777777" w:rsidR="00554CC9" w:rsidRDefault="00554CC9" w:rsidP="00D249AC">
            <w:pPr>
              <w:spacing w:after="160" w:line="259" w:lineRule="auto"/>
              <w:ind w:left="0" w:firstLine="0"/>
              <w:jc w:val="left"/>
            </w:pPr>
            <w:r>
              <w:t>Page 29</w:t>
            </w:r>
          </w:p>
        </w:tc>
        <w:tc>
          <w:tcPr>
            <w:tcW w:w="0" w:type="auto"/>
          </w:tcPr>
          <w:p w14:paraId="44D94914" w14:textId="77777777" w:rsidR="00554CC9" w:rsidRDefault="003449D2" w:rsidP="00E0560F">
            <w:pPr>
              <w:spacing w:after="160" w:line="259" w:lineRule="auto"/>
              <w:jc w:val="left"/>
              <w:rPr>
                <w:i/>
              </w:rPr>
            </w:pPr>
            <w:r>
              <w:t xml:space="preserve">Policy 9 </w:t>
            </w:r>
            <w:r>
              <w:rPr>
                <w:i/>
              </w:rPr>
              <w:t>Commercial development</w:t>
            </w:r>
          </w:p>
          <w:p w14:paraId="5ED56B11" w14:textId="416EC90C" w:rsidR="003449D2" w:rsidRDefault="003449D2" w:rsidP="00C66442">
            <w:pPr>
              <w:spacing w:after="160" w:line="259" w:lineRule="auto"/>
              <w:ind w:left="17" w:hanging="17"/>
              <w:jc w:val="left"/>
              <w:rPr>
                <w:b/>
                <w:i/>
              </w:rPr>
            </w:pPr>
            <w:r>
              <w:t xml:space="preserve">Proposals </w:t>
            </w:r>
            <w:r>
              <w:rPr>
                <w:strike/>
              </w:rPr>
              <w:t xml:space="preserve">will be supported </w:t>
            </w:r>
            <w:r>
              <w:t xml:space="preserve">for developments </w:t>
            </w:r>
            <w:r w:rsidR="00AF322E" w:rsidRPr="00AF322E">
              <w:rPr>
                <w:strike/>
              </w:rPr>
              <w:t>that maintain or improve</w:t>
            </w:r>
            <w:r w:rsidR="00AF322E">
              <w:rPr>
                <w:b/>
                <w:i/>
              </w:rPr>
              <w:t xml:space="preserve"> </w:t>
            </w:r>
            <w:r>
              <w:rPr>
                <w:b/>
                <w:i/>
              </w:rPr>
              <w:t xml:space="preserve">for new or </w:t>
            </w:r>
            <w:r w:rsidR="0043274B">
              <w:rPr>
                <w:b/>
                <w:i/>
              </w:rPr>
              <w:t>enhanc</w:t>
            </w:r>
            <w:r>
              <w:rPr>
                <w:b/>
                <w:i/>
              </w:rPr>
              <w:t xml:space="preserve">ed </w:t>
            </w:r>
            <w:r>
              <w:t>retail and commercial uses</w:t>
            </w:r>
            <w:r w:rsidR="0043274B">
              <w:t xml:space="preserve"> within</w:t>
            </w:r>
            <w:r>
              <w:t xml:space="preserve"> </w:t>
            </w:r>
            <w:proofErr w:type="gramStart"/>
            <w:r>
              <w:t>....</w:t>
            </w:r>
            <w:r w:rsidR="0043274B">
              <w:rPr>
                <w:b/>
                <w:i/>
              </w:rPr>
              <w:t>will</w:t>
            </w:r>
            <w:proofErr w:type="gramEnd"/>
            <w:r w:rsidR="0043274B">
              <w:rPr>
                <w:b/>
                <w:i/>
              </w:rPr>
              <w:t xml:space="preserve"> be supported.</w:t>
            </w:r>
          </w:p>
          <w:p w14:paraId="3C794D1C" w14:textId="77777777" w:rsidR="004F525D" w:rsidRPr="004F525D" w:rsidRDefault="009712C7" w:rsidP="00E0560F">
            <w:pPr>
              <w:spacing w:after="160" w:line="259" w:lineRule="auto"/>
              <w:jc w:val="left"/>
            </w:pPr>
            <w:r>
              <w:t xml:space="preserve">Development proposals for Canal </w:t>
            </w:r>
            <w:proofErr w:type="gramStart"/>
            <w:r>
              <w:t>.....</w:t>
            </w:r>
            <w:proofErr w:type="gramEnd"/>
          </w:p>
          <w:p w14:paraId="148FEE29" w14:textId="77777777" w:rsidR="003449D2" w:rsidRDefault="003449D2" w:rsidP="00E0560F">
            <w:pPr>
              <w:spacing w:after="160" w:line="259" w:lineRule="auto"/>
              <w:jc w:val="left"/>
            </w:pPr>
            <w:r>
              <w:t>Justification</w:t>
            </w:r>
          </w:p>
          <w:p w14:paraId="38F48A94" w14:textId="39F1B890" w:rsidR="0043274B" w:rsidRPr="008115B0" w:rsidRDefault="003449D2" w:rsidP="008115B0">
            <w:pPr>
              <w:spacing w:after="160" w:line="259" w:lineRule="auto"/>
              <w:ind w:left="0" w:firstLine="0"/>
              <w:jc w:val="left"/>
              <w:rPr>
                <w:b/>
                <w:i/>
              </w:rPr>
            </w:pPr>
            <w:r>
              <w:t xml:space="preserve">2.39 This policy supports </w:t>
            </w:r>
            <w:proofErr w:type="gramStart"/>
            <w:r>
              <w:t>....A</w:t>
            </w:r>
            <w:proofErr w:type="gramEnd"/>
            <w:r>
              <w:t xml:space="preserve"> number of shop fronts have now been used ...remain as residential houses.  </w:t>
            </w:r>
            <w:r w:rsidR="008276BD" w:rsidRPr="008276BD">
              <w:rPr>
                <w:b/>
                <w:bCs/>
                <w:i/>
                <w:iCs/>
              </w:rPr>
              <w:t>New permitted development rights com</w:t>
            </w:r>
            <w:r w:rsidR="008276BD">
              <w:rPr>
                <w:b/>
                <w:bCs/>
                <w:i/>
                <w:iCs/>
              </w:rPr>
              <w:t>e into effect</w:t>
            </w:r>
            <w:r w:rsidR="008276BD" w:rsidRPr="008276BD">
              <w:rPr>
                <w:b/>
                <w:bCs/>
                <w:i/>
                <w:iCs/>
              </w:rPr>
              <w:t xml:space="preserve"> on 1 August 2021 </w:t>
            </w:r>
            <w:r w:rsidR="008276BD">
              <w:rPr>
                <w:b/>
                <w:bCs/>
                <w:i/>
                <w:iCs/>
              </w:rPr>
              <w:t xml:space="preserve">which </w:t>
            </w:r>
            <w:r w:rsidR="008276BD" w:rsidRPr="008276BD">
              <w:rPr>
                <w:b/>
                <w:bCs/>
                <w:i/>
                <w:iCs/>
              </w:rPr>
              <w:t>will enable the change of use from the new Class E (Commercial, Business and Service) to residential use (Class C3)</w:t>
            </w:r>
            <w:r w:rsidRPr="008276BD">
              <w:rPr>
                <w:b/>
                <w:bCs/>
                <w:i/>
                <w:iCs/>
              </w:rPr>
              <w:t>.</w:t>
            </w:r>
            <w:r w:rsidRPr="009712C7">
              <w:rPr>
                <w:b/>
                <w:i/>
              </w:rPr>
              <w:t xml:space="preserve"> </w:t>
            </w:r>
            <w:r>
              <w:t xml:space="preserve"> </w:t>
            </w:r>
            <w:r>
              <w:rPr>
                <w:b/>
                <w:i/>
              </w:rPr>
              <w:t xml:space="preserve">However, </w:t>
            </w:r>
            <w:r>
              <w:t xml:space="preserve">protecting and supporting additional active frontages and uses </w:t>
            </w:r>
            <w:r>
              <w:rPr>
                <w:strike/>
              </w:rPr>
              <w:t xml:space="preserve">is therefore </w:t>
            </w:r>
            <w:r w:rsidR="00F85F22">
              <w:rPr>
                <w:b/>
                <w:i/>
              </w:rPr>
              <w:t>in Queen’s Park’s key retail and commercial centres</w:t>
            </w:r>
            <w:r w:rsidR="00F85F22">
              <w:t xml:space="preserve"> </w:t>
            </w:r>
            <w:r w:rsidR="00F85F22" w:rsidRPr="00F85F22">
              <w:rPr>
                <w:b/>
                <w:i/>
              </w:rPr>
              <w:t>currently</w:t>
            </w:r>
            <w:r w:rsidR="00F85F22">
              <w:t xml:space="preserve"> </w:t>
            </w:r>
            <w:r w:rsidR="00F85F22">
              <w:rPr>
                <w:b/>
                <w:i/>
              </w:rPr>
              <w:t>remains</w:t>
            </w:r>
            <w:r w:rsidR="00F85F22">
              <w:t xml:space="preserve"> a key point of concern.</w:t>
            </w:r>
            <w:r w:rsidR="00F85F22">
              <w:rPr>
                <w:b/>
                <w:i/>
              </w:rPr>
              <w:t xml:space="preserve"> </w:t>
            </w:r>
          </w:p>
        </w:tc>
      </w:tr>
      <w:tr w:rsidR="003449D2" w14:paraId="7535AAF8" w14:textId="77777777" w:rsidTr="003C5B31">
        <w:tc>
          <w:tcPr>
            <w:tcW w:w="0" w:type="auto"/>
          </w:tcPr>
          <w:p w14:paraId="602C039A" w14:textId="64E7AFDE" w:rsidR="00554CC9" w:rsidRDefault="002C598B" w:rsidP="005D2FB1">
            <w:pPr>
              <w:spacing w:after="160" w:line="259" w:lineRule="auto"/>
              <w:ind w:left="0" w:firstLine="0"/>
              <w:jc w:val="left"/>
            </w:pPr>
            <w:r>
              <w:t>PM</w:t>
            </w:r>
            <w:r w:rsidR="00A759D5">
              <w:t>8</w:t>
            </w:r>
          </w:p>
        </w:tc>
        <w:tc>
          <w:tcPr>
            <w:tcW w:w="0" w:type="auto"/>
          </w:tcPr>
          <w:p w14:paraId="13931652" w14:textId="77777777" w:rsidR="00554CC9" w:rsidRDefault="002C598B" w:rsidP="00D249AC">
            <w:pPr>
              <w:spacing w:after="160" w:line="259" w:lineRule="auto"/>
              <w:ind w:left="0" w:firstLine="0"/>
              <w:jc w:val="left"/>
            </w:pPr>
            <w:r>
              <w:t>Page 30</w:t>
            </w:r>
          </w:p>
        </w:tc>
        <w:tc>
          <w:tcPr>
            <w:tcW w:w="0" w:type="auto"/>
          </w:tcPr>
          <w:p w14:paraId="0CCC066F" w14:textId="77777777" w:rsidR="00554CC9" w:rsidRDefault="002C598B" w:rsidP="00E0560F">
            <w:pPr>
              <w:spacing w:after="160" w:line="259" w:lineRule="auto"/>
              <w:jc w:val="left"/>
            </w:pPr>
            <w:r>
              <w:t>Objectives</w:t>
            </w:r>
          </w:p>
          <w:p w14:paraId="0A1F7E1C" w14:textId="77777777" w:rsidR="002C598B" w:rsidRPr="002C598B" w:rsidRDefault="002C598B" w:rsidP="00C66442">
            <w:pPr>
              <w:spacing w:after="160" w:line="259" w:lineRule="auto"/>
              <w:ind w:left="0" w:firstLine="0"/>
              <w:jc w:val="left"/>
              <w:rPr>
                <w:i/>
              </w:rPr>
            </w:pPr>
            <w:r>
              <w:t xml:space="preserve">2.42 Continue developing </w:t>
            </w:r>
            <w:proofErr w:type="gramStart"/>
            <w:r>
              <w:t>....new</w:t>
            </w:r>
            <w:proofErr w:type="gramEnd"/>
            <w:r>
              <w:t xml:space="preserve"> homes that </w:t>
            </w:r>
            <w:r>
              <w:rPr>
                <w:strike/>
              </w:rPr>
              <w:t xml:space="preserve">are </w:t>
            </w:r>
            <w:r w:rsidRPr="002C598B">
              <w:rPr>
                <w:strike/>
              </w:rPr>
              <w:t>wand</w:t>
            </w:r>
            <w:r>
              <w:t xml:space="preserve"> </w:t>
            </w:r>
            <w:r w:rsidRPr="002C598B">
              <w:rPr>
                <w:b/>
                <w:i/>
              </w:rPr>
              <w:t>meet local housing need, and</w:t>
            </w:r>
            <w:r>
              <w:rPr>
                <w:b/>
                <w:i/>
              </w:rPr>
              <w:t xml:space="preserve"> </w:t>
            </w:r>
            <w:r w:rsidRPr="002C598B">
              <w:t>the existing housing stock is protected and enhanced</w:t>
            </w:r>
            <w:r>
              <w:rPr>
                <w:i/>
              </w:rPr>
              <w:t>.</w:t>
            </w:r>
          </w:p>
        </w:tc>
      </w:tr>
      <w:tr w:rsidR="003449D2" w14:paraId="61ABC195" w14:textId="77777777" w:rsidTr="003C5B31">
        <w:tc>
          <w:tcPr>
            <w:tcW w:w="0" w:type="auto"/>
          </w:tcPr>
          <w:p w14:paraId="26ECF224" w14:textId="2D8376A6" w:rsidR="00554CC9" w:rsidRDefault="005D2FB1" w:rsidP="00D249AC">
            <w:pPr>
              <w:spacing w:after="160" w:line="259" w:lineRule="auto"/>
              <w:ind w:left="0" w:firstLine="0"/>
              <w:jc w:val="left"/>
            </w:pPr>
            <w:r>
              <w:t>PM</w:t>
            </w:r>
            <w:r w:rsidR="00A759D5">
              <w:t>9</w:t>
            </w:r>
          </w:p>
        </w:tc>
        <w:tc>
          <w:tcPr>
            <w:tcW w:w="0" w:type="auto"/>
          </w:tcPr>
          <w:p w14:paraId="6B122744" w14:textId="77777777" w:rsidR="00554CC9" w:rsidRDefault="000A585E" w:rsidP="00D249AC">
            <w:pPr>
              <w:spacing w:after="160" w:line="259" w:lineRule="auto"/>
              <w:ind w:left="0" w:firstLine="0"/>
              <w:jc w:val="left"/>
            </w:pPr>
            <w:r>
              <w:t>Page 34</w:t>
            </w:r>
          </w:p>
        </w:tc>
        <w:tc>
          <w:tcPr>
            <w:tcW w:w="0" w:type="auto"/>
          </w:tcPr>
          <w:p w14:paraId="327953E4" w14:textId="77777777" w:rsidR="00554CC9" w:rsidRDefault="008C37FC" w:rsidP="00C66442">
            <w:pPr>
              <w:spacing w:after="160" w:line="259" w:lineRule="auto"/>
              <w:ind w:left="17" w:hanging="17"/>
              <w:jc w:val="left"/>
            </w:pPr>
            <w:r>
              <w:t>Queen’s Park Neighbourhood Plan Development Projects</w:t>
            </w:r>
          </w:p>
          <w:p w14:paraId="739412CA" w14:textId="77777777" w:rsidR="008C37FC" w:rsidRDefault="008C37FC" w:rsidP="00C66442">
            <w:pPr>
              <w:spacing w:after="160" w:line="259" w:lineRule="auto"/>
              <w:ind w:left="0" w:firstLine="0"/>
              <w:jc w:val="left"/>
              <w:rPr>
                <w:strike/>
              </w:rPr>
            </w:pPr>
            <w:r>
              <w:rPr>
                <w:strike/>
              </w:rPr>
              <w:t>This section is not part of the statutory neighbourhood plan but indicates how the neighbourhood plan can be delivered.</w:t>
            </w:r>
          </w:p>
          <w:p w14:paraId="12A1BBBB" w14:textId="224B497D" w:rsidR="008C37FC" w:rsidRPr="008C37FC" w:rsidRDefault="008C37FC" w:rsidP="004C0AB0">
            <w:pPr>
              <w:spacing w:after="120" w:line="259" w:lineRule="auto"/>
              <w:ind w:left="17" w:hanging="17"/>
              <w:jc w:val="left"/>
              <w:rPr>
                <w:b/>
                <w:i/>
              </w:rPr>
            </w:pPr>
            <w:r>
              <w:rPr>
                <w:b/>
                <w:i/>
              </w:rPr>
              <w:t xml:space="preserve">This section </w:t>
            </w:r>
            <w:r w:rsidR="00462368">
              <w:rPr>
                <w:b/>
                <w:i/>
              </w:rPr>
              <w:t xml:space="preserve">of the Queen’s Park Neighbourhood Plan </w:t>
            </w:r>
            <w:r>
              <w:rPr>
                <w:b/>
                <w:i/>
              </w:rPr>
              <w:t>does not include planning policies</w:t>
            </w:r>
            <w:r w:rsidR="00462368">
              <w:rPr>
                <w:b/>
                <w:i/>
              </w:rPr>
              <w:t xml:space="preserve"> which will be </w:t>
            </w:r>
            <w:proofErr w:type="gramStart"/>
            <w:r w:rsidR="00462368">
              <w:rPr>
                <w:b/>
                <w:i/>
              </w:rPr>
              <w:t>taken into account</w:t>
            </w:r>
            <w:proofErr w:type="gramEnd"/>
            <w:r w:rsidR="00462368">
              <w:rPr>
                <w:b/>
                <w:i/>
              </w:rPr>
              <w:t xml:space="preserve"> when</w:t>
            </w:r>
            <w:r w:rsidR="00E043D8">
              <w:rPr>
                <w:b/>
                <w:i/>
              </w:rPr>
              <w:t xml:space="preserve"> planning</w:t>
            </w:r>
            <w:r w:rsidR="00462368">
              <w:rPr>
                <w:b/>
                <w:i/>
              </w:rPr>
              <w:t xml:space="preserve"> applications are determined.  However, following from the Plan’s vision, </w:t>
            </w:r>
            <w:proofErr w:type="gramStart"/>
            <w:r w:rsidR="00462368">
              <w:rPr>
                <w:b/>
                <w:i/>
              </w:rPr>
              <w:t>objectives</w:t>
            </w:r>
            <w:proofErr w:type="gramEnd"/>
            <w:r w:rsidR="00462368">
              <w:rPr>
                <w:b/>
                <w:i/>
              </w:rPr>
              <w:t xml:space="preserve"> and policies, and from evidence of ongoing physical and economic change in the area, this section </w:t>
            </w:r>
            <w:r w:rsidR="00737A03">
              <w:rPr>
                <w:b/>
                <w:i/>
              </w:rPr>
              <w:t>describe</w:t>
            </w:r>
            <w:r w:rsidR="00462368">
              <w:rPr>
                <w:b/>
                <w:i/>
              </w:rPr>
              <w:t xml:space="preserve">s </w:t>
            </w:r>
            <w:r w:rsidR="00737A03">
              <w:rPr>
                <w:b/>
                <w:i/>
              </w:rPr>
              <w:t>projects with potential to help deliver</w:t>
            </w:r>
            <w:r w:rsidR="00462368">
              <w:rPr>
                <w:b/>
                <w:i/>
              </w:rPr>
              <w:t xml:space="preserve"> the </w:t>
            </w:r>
            <w:r w:rsidR="00B16DD0">
              <w:rPr>
                <w:b/>
                <w:i/>
              </w:rPr>
              <w:t>N</w:t>
            </w:r>
            <w:r w:rsidR="00462368">
              <w:rPr>
                <w:b/>
                <w:i/>
              </w:rPr>
              <w:t xml:space="preserve">eighbourhood </w:t>
            </w:r>
            <w:r w:rsidR="00B16DD0">
              <w:rPr>
                <w:b/>
                <w:i/>
              </w:rPr>
              <w:t>P</w:t>
            </w:r>
            <w:r w:rsidR="00462368">
              <w:rPr>
                <w:b/>
                <w:i/>
              </w:rPr>
              <w:t>lan</w:t>
            </w:r>
            <w:r w:rsidR="00BE5F4F">
              <w:rPr>
                <w:b/>
                <w:i/>
              </w:rPr>
              <w:t>’s vision and objectives</w:t>
            </w:r>
            <w:r w:rsidR="00462368">
              <w:rPr>
                <w:b/>
                <w:i/>
              </w:rPr>
              <w:t xml:space="preserve">.  </w:t>
            </w:r>
            <w:r>
              <w:rPr>
                <w:b/>
                <w:i/>
              </w:rPr>
              <w:t xml:space="preserve"> </w:t>
            </w:r>
          </w:p>
        </w:tc>
      </w:tr>
    </w:tbl>
    <w:p w14:paraId="68CDD1C7" w14:textId="77777777" w:rsidR="00A67E7B" w:rsidRDefault="00A67E7B" w:rsidP="004C0AB0">
      <w:pPr>
        <w:ind w:left="0" w:firstLine="0"/>
      </w:pPr>
    </w:p>
    <w:sectPr w:rsidR="00A67E7B" w:rsidSect="003D43E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2DCE3" w14:textId="77777777" w:rsidR="002F1DF1" w:rsidRDefault="002F1DF1" w:rsidP="00F82C24">
      <w:r>
        <w:separator/>
      </w:r>
    </w:p>
  </w:endnote>
  <w:endnote w:type="continuationSeparator" w:id="0">
    <w:p w14:paraId="619289E2" w14:textId="77777777" w:rsidR="002F1DF1" w:rsidRDefault="002F1DF1" w:rsidP="00F82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7227398"/>
      <w:docPartObj>
        <w:docPartGallery w:val="Page Numbers (Bottom of Page)"/>
        <w:docPartUnique/>
      </w:docPartObj>
    </w:sdtPr>
    <w:sdtEndPr>
      <w:rPr>
        <w:noProof/>
      </w:rPr>
    </w:sdtEndPr>
    <w:sdtContent>
      <w:p w14:paraId="14A63A6E" w14:textId="73BACAF3" w:rsidR="00856B5D" w:rsidRDefault="00856B5D" w:rsidP="00E82D45">
        <w:pPr>
          <w:pStyle w:val="Footer"/>
          <w:jc w:val="center"/>
          <w:rPr>
            <w:rFonts w:ascii="Microsoft JhengHei UI" w:eastAsia="Microsoft JhengHei UI" w:hAnsi="Microsoft JhengHei UI"/>
            <w:color w:val="002060"/>
            <w:sz w:val="20"/>
          </w:rPr>
        </w:pPr>
        <w:r w:rsidRPr="00CB17B1">
          <w:rPr>
            <w:rFonts w:ascii="Microsoft JhengHei UI" w:eastAsia="Microsoft JhengHei UI" w:hAnsi="Microsoft JhengHei UI"/>
            <w:color w:val="002060"/>
            <w:sz w:val="20"/>
          </w:rPr>
          <w:t xml:space="preserve">Intelligent Plans and Examinations (IPE) Ltd, </w:t>
        </w:r>
        <w:r w:rsidR="00C66442">
          <w:rPr>
            <w:rFonts w:ascii="Microsoft JhengHei UI" w:eastAsia="Microsoft JhengHei UI" w:hAnsi="Microsoft JhengHei UI"/>
            <w:color w:val="002060"/>
            <w:sz w:val="20"/>
          </w:rPr>
          <w:t>3 Princes</w:t>
        </w:r>
        <w:r>
          <w:rPr>
            <w:rFonts w:ascii="Microsoft JhengHei UI" w:eastAsia="Microsoft JhengHei UI" w:hAnsi="Microsoft JhengHei UI"/>
            <w:color w:val="002060"/>
            <w:sz w:val="20"/>
          </w:rPr>
          <w:t xml:space="preserve"> Street, Bath BA1 </w:t>
        </w:r>
        <w:r w:rsidR="00C66442">
          <w:rPr>
            <w:rFonts w:ascii="Microsoft JhengHei UI" w:eastAsia="Microsoft JhengHei UI" w:hAnsi="Microsoft JhengHei UI"/>
            <w:color w:val="002060"/>
            <w:sz w:val="20"/>
          </w:rPr>
          <w:t>1H</w:t>
        </w:r>
        <w:r>
          <w:rPr>
            <w:rFonts w:ascii="Microsoft JhengHei UI" w:eastAsia="Microsoft JhengHei UI" w:hAnsi="Microsoft JhengHei UI"/>
            <w:color w:val="002060"/>
            <w:sz w:val="20"/>
          </w:rPr>
          <w:t>L</w:t>
        </w:r>
      </w:p>
      <w:p w14:paraId="481C4209" w14:textId="77777777" w:rsidR="00856B5D" w:rsidRPr="00D20769" w:rsidRDefault="00856B5D" w:rsidP="00E82D45">
        <w:pPr>
          <w:pStyle w:val="Footer"/>
          <w:jc w:val="center"/>
          <w:rPr>
            <w:rFonts w:ascii="Microsoft JhengHei UI" w:eastAsia="Microsoft JhengHei UI" w:hAnsi="Microsoft JhengHei UI"/>
            <w:color w:val="002060"/>
            <w:sz w:val="20"/>
          </w:rPr>
        </w:pPr>
        <w:r w:rsidRPr="00CB17B1">
          <w:rPr>
            <w:rFonts w:ascii="Microsoft JhengHei UI" w:eastAsia="Microsoft JhengHei UI" w:hAnsi="Microsoft JhengHei UI"/>
            <w:color w:val="92D050"/>
            <w:sz w:val="16"/>
            <w:szCs w:val="16"/>
          </w:rPr>
          <w:t xml:space="preserve">Registered in England and Wales. Company Reg. No. </w:t>
        </w:r>
        <w:r>
          <w:rPr>
            <w:rFonts w:ascii="Microsoft JhengHei UI" w:eastAsia="Microsoft JhengHei UI" w:hAnsi="Microsoft JhengHei UI"/>
            <w:color w:val="92D050"/>
            <w:sz w:val="16"/>
            <w:szCs w:val="16"/>
          </w:rPr>
          <w:t>1</w:t>
        </w:r>
        <w:r w:rsidRPr="00CB17B1">
          <w:rPr>
            <w:rFonts w:ascii="Microsoft JhengHei UI" w:eastAsia="Microsoft JhengHei UI" w:hAnsi="Microsoft JhengHei UI"/>
            <w:color w:val="92D050"/>
            <w:sz w:val="16"/>
            <w:szCs w:val="16"/>
          </w:rPr>
          <w:t>0100118</w:t>
        </w:r>
        <w:r>
          <w:rPr>
            <w:rFonts w:ascii="Microsoft JhengHei UI" w:eastAsia="Microsoft JhengHei UI" w:hAnsi="Microsoft JhengHei UI"/>
            <w:color w:val="92D050"/>
            <w:sz w:val="16"/>
            <w:szCs w:val="16"/>
          </w:rPr>
          <w:t xml:space="preserve">. VAT Reg. No. </w:t>
        </w:r>
        <w:r w:rsidRPr="00D20769">
          <w:rPr>
            <w:rFonts w:ascii="Microsoft JhengHei UI" w:eastAsia="Microsoft JhengHei UI" w:hAnsi="Microsoft JhengHei UI"/>
            <w:color w:val="92D050"/>
            <w:sz w:val="16"/>
            <w:szCs w:val="16"/>
          </w:rPr>
          <w:t>237 7641 84</w:t>
        </w:r>
      </w:p>
      <w:p w14:paraId="7F1E3652" w14:textId="77777777" w:rsidR="00856B5D" w:rsidRDefault="00A877A7" w:rsidP="00E82D45">
        <w:pPr>
          <w:pStyle w:val="Footer"/>
          <w:jc w:val="center"/>
        </w:pPr>
        <w:r>
          <w:fldChar w:fldCharType="begin"/>
        </w:r>
        <w:r>
          <w:instrText xml:space="preserve"> PAGE   \* MERGEFORMAT </w:instrText>
        </w:r>
        <w:r>
          <w:fldChar w:fldCharType="separate"/>
        </w:r>
        <w:r w:rsidR="004F6F92">
          <w:rPr>
            <w:noProof/>
          </w:rPr>
          <w:t>19</w:t>
        </w:r>
        <w:r>
          <w:rPr>
            <w:noProof/>
          </w:rPr>
          <w:fldChar w:fldCharType="end"/>
        </w:r>
      </w:p>
    </w:sdtContent>
  </w:sdt>
  <w:p w14:paraId="4516ECF0" w14:textId="77777777" w:rsidR="00856B5D" w:rsidRDefault="00856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A690E" w14:textId="77777777" w:rsidR="002F1DF1" w:rsidRDefault="002F1DF1" w:rsidP="00F82C24">
      <w:r>
        <w:separator/>
      </w:r>
    </w:p>
  </w:footnote>
  <w:footnote w:type="continuationSeparator" w:id="0">
    <w:p w14:paraId="3158DB4D" w14:textId="77777777" w:rsidR="002F1DF1" w:rsidRDefault="002F1DF1" w:rsidP="00F82C24">
      <w:r>
        <w:continuationSeparator/>
      </w:r>
    </w:p>
  </w:footnote>
  <w:footnote w:id="1">
    <w:p w14:paraId="7B2B4AD5" w14:textId="6D8D7A49" w:rsidR="00856B5D" w:rsidRDefault="00856B5D" w:rsidP="00192C6E">
      <w:pPr>
        <w:pStyle w:val="FootnoteText"/>
        <w:ind w:left="0" w:firstLine="0"/>
        <w:jc w:val="left"/>
      </w:pPr>
      <w:r>
        <w:rPr>
          <w:rStyle w:val="FootnoteReference"/>
        </w:rPr>
        <w:footnoteRef/>
      </w:r>
      <w:r>
        <w:t xml:space="preserve"> Regulation 14 and Regulation 16 of the Neighbourhood Plan (General) Regulations 2012</w:t>
      </w:r>
      <w:r w:rsidR="00192C6E">
        <w:t xml:space="preserve"> (</w:t>
      </w:r>
      <w:r>
        <w:t>as amended</w:t>
      </w:r>
      <w:r w:rsidR="00192C6E">
        <w:t>).</w:t>
      </w:r>
    </w:p>
  </w:footnote>
  <w:footnote w:id="2">
    <w:p w14:paraId="235AF7C3" w14:textId="05DA56D9" w:rsidR="003A3751" w:rsidRDefault="003A3751" w:rsidP="003A3751">
      <w:pPr>
        <w:pStyle w:val="FootnoteText"/>
        <w:ind w:left="0" w:firstLine="0"/>
        <w:jc w:val="left"/>
      </w:pPr>
      <w:r>
        <w:rPr>
          <w:rStyle w:val="FootnoteReference"/>
        </w:rPr>
        <w:footnoteRef/>
      </w:r>
      <w:r>
        <w:t xml:space="preserve"> </w:t>
      </w:r>
      <w:r w:rsidRPr="003A3751">
        <w:t xml:space="preserve">The Queen’s Park Community Council Neighbourhood Plan 2020-2040, which is the subject of this examination, has a date on the front cover of April 2020.  It is referred to as the submitted QPNP, April 2020, although the Plan was not actually submitted for examination until November 2020.  </w:t>
      </w:r>
    </w:p>
  </w:footnote>
  <w:footnote w:id="3">
    <w:p w14:paraId="50C60647" w14:textId="637B8D19" w:rsidR="00192C6E" w:rsidRDefault="00192C6E" w:rsidP="00192C6E">
      <w:pPr>
        <w:pStyle w:val="FootnoteText"/>
      </w:pPr>
      <w:r>
        <w:rPr>
          <w:rStyle w:val="FootnoteReference"/>
        </w:rPr>
        <w:footnoteRef/>
      </w:r>
      <w:r>
        <w:t xml:space="preserve"> </w:t>
      </w:r>
      <w:r>
        <w:rPr>
          <w:rFonts w:cs="Arial"/>
        </w:rPr>
        <w:t xml:space="preserve">The </w:t>
      </w:r>
      <w:r>
        <w:rPr>
          <w:rFonts w:cs="Arial"/>
          <w:shd w:val="clear" w:color="auto" w:fill="FFFFFF"/>
        </w:rPr>
        <w:t>existing body of environmental regulation is retained in UK law.</w:t>
      </w:r>
    </w:p>
  </w:footnote>
  <w:footnote w:id="4">
    <w:p w14:paraId="46E2BDB2" w14:textId="77777777" w:rsidR="00856B5D" w:rsidRDefault="00856B5D" w:rsidP="00031AC5">
      <w:pPr>
        <w:pStyle w:val="CommentText"/>
        <w:ind w:left="0" w:firstLine="0"/>
        <w:jc w:val="left"/>
      </w:pPr>
      <w:r>
        <w:rPr>
          <w:rStyle w:val="FootnoteReference"/>
        </w:rPr>
        <w:footnoteRef/>
      </w:r>
      <w:r w:rsidRPr="007A3C35">
        <w:t>This revised Basic Condition came into force on 28 December 2018 through the Conservation of Habitats and Species and Planning (Various Amendments) (England and Wales) Regulations 2018.</w:t>
      </w:r>
    </w:p>
  </w:footnote>
  <w:footnote w:id="5">
    <w:p w14:paraId="0000D62B" w14:textId="3B2F3C5F" w:rsidR="00452FF2" w:rsidRDefault="00452FF2" w:rsidP="00452FF2">
      <w:pPr>
        <w:pStyle w:val="FootnoteText"/>
        <w:ind w:left="0" w:firstLine="0"/>
        <w:jc w:val="left"/>
      </w:pPr>
      <w:r>
        <w:rPr>
          <w:rStyle w:val="FootnoteReference"/>
        </w:rPr>
        <w:footnoteRef/>
      </w:r>
      <w:r>
        <w:t xml:space="preserve"> View at: </w:t>
      </w:r>
      <w:r w:rsidR="009E0DCF">
        <w:rPr>
          <w:rStyle w:val="Hyperlink"/>
        </w:rPr>
        <w:t xml:space="preserve"> </w:t>
      </w:r>
      <w:hyperlink r:id="rId1" w:history="1">
        <w:r w:rsidR="009E0DCF" w:rsidRPr="009E0DCF">
          <w:rPr>
            <w:rStyle w:val="Hyperlink"/>
          </w:rPr>
          <w:t>https://www.westminster.gov.uk/planning-building-and-environmental-regulations/planning-policy/queens-park-neighbourhood-plan/examination-documents</w:t>
        </w:r>
      </w:hyperlink>
    </w:p>
    <w:p w14:paraId="0D6F7AED" w14:textId="7EC58807" w:rsidR="003F1207" w:rsidRDefault="003F1207" w:rsidP="00452FF2">
      <w:pPr>
        <w:pStyle w:val="FootnoteText"/>
        <w:ind w:left="0" w:firstLine="0"/>
        <w:jc w:val="left"/>
      </w:pPr>
      <w:r w:rsidRPr="003F1207">
        <w:t xml:space="preserve">The </w:t>
      </w:r>
      <w:r>
        <w:t>April</w:t>
      </w:r>
      <w:r w:rsidRPr="003F1207">
        <w:t xml:space="preserve"> 202</w:t>
      </w:r>
      <w:r>
        <w:t>1</w:t>
      </w:r>
      <w:r w:rsidRPr="003F1207">
        <w:t xml:space="preserve"> SOCG also forms Appendix 2 of this report.</w:t>
      </w:r>
    </w:p>
  </w:footnote>
  <w:footnote w:id="6">
    <w:p w14:paraId="688D26E9" w14:textId="2A3F4EB6" w:rsidR="00856B5D" w:rsidRDefault="00856B5D" w:rsidP="00110C0A">
      <w:pPr>
        <w:pStyle w:val="FootnoteText"/>
        <w:ind w:left="0" w:firstLine="0"/>
        <w:jc w:val="left"/>
      </w:pPr>
      <w:r>
        <w:rPr>
          <w:rStyle w:val="FootnoteReference"/>
        </w:rPr>
        <w:footnoteRef/>
      </w:r>
      <w:r>
        <w:t xml:space="preserve"> The Town and Country Planning Act (Use Classes) (Amendment) (England) Regulation</w:t>
      </w:r>
      <w:r w:rsidR="00EC7B72">
        <w:t>s</w:t>
      </w:r>
      <w:r>
        <w:t xml:space="preserve"> 2020 includes new Class E (commercial, business and service uses)</w:t>
      </w:r>
      <w:r w:rsidR="00EC7B72">
        <w:t>,</w:t>
      </w:r>
      <w:r>
        <w:t xml:space="preserve"> which incorporates the former A1, A2, A3, B1, and parts of D2 uses. </w:t>
      </w:r>
    </w:p>
  </w:footnote>
  <w:footnote w:id="7">
    <w:p w14:paraId="3CEAB263" w14:textId="77777777" w:rsidR="00D847F7" w:rsidRDefault="00D847F7" w:rsidP="00D847F7">
      <w:pPr>
        <w:pStyle w:val="FootnoteText"/>
        <w:ind w:left="0" w:firstLine="0"/>
        <w:jc w:val="left"/>
      </w:pPr>
      <w:r w:rsidRPr="00EC7B72">
        <w:rPr>
          <w:rStyle w:val="FootnoteReference"/>
        </w:rPr>
        <w:footnoteRef/>
      </w:r>
      <w:r w:rsidRPr="00EC7B72">
        <w:t xml:space="preserve"> </w:t>
      </w:r>
      <w:r w:rsidRPr="00EC7B72">
        <w:rPr>
          <w:rFonts w:cs="Arial"/>
        </w:rPr>
        <w:t>Modifications for the purpose of correcting errors is provided for in Paragraph 10(3)(e) of Schedule 4B to the 1990 Act.</w:t>
      </w:r>
    </w:p>
  </w:footnote>
  <w:footnote w:id="8">
    <w:p w14:paraId="34C54975" w14:textId="628F20D4" w:rsidR="00EC7B72" w:rsidRDefault="00EC7B72">
      <w:pPr>
        <w:pStyle w:val="FootnoteText"/>
      </w:pPr>
      <w:r>
        <w:rPr>
          <w:rStyle w:val="FootnoteReference"/>
        </w:rPr>
        <w:footnoteRef/>
      </w:r>
      <w:r>
        <w:t xml:space="preserve"> </w:t>
      </w:r>
      <w:r w:rsidR="00D847F7">
        <w:t xml:space="preserve">See NPPF paragraphs 15 and 16 and PPG </w:t>
      </w:r>
      <w:r w:rsidR="00D847F7" w:rsidRPr="00D847F7">
        <w:rPr>
          <w:rFonts w:cs="Arial"/>
          <w:color w:val="0B0C0C"/>
          <w:shd w:val="clear" w:color="auto" w:fill="FFFFFF"/>
        </w:rPr>
        <w:t>Reference ID: 41-041-20140306</w:t>
      </w:r>
      <w:r w:rsidR="00D847F7">
        <w:rPr>
          <w:rFonts w:cs="Arial"/>
          <w:color w:val="0B0C0C"/>
          <w:shd w:val="clear" w:color="auto" w:fill="FFFFFF"/>
        </w:rPr>
        <w:t>.</w:t>
      </w:r>
    </w:p>
  </w:footnote>
  <w:footnote w:id="9">
    <w:p w14:paraId="0A1AA66B" w14:textId="1F9FA91E" w:rsidR="00856B5D" w:rsidRDefault="00856B5D" w:rsidP="00A17E69">
      <w:pPr>
        <w:pStyle w:val="FootnoteText"/>
        <w:ind w:left="0" w:hanging="6"/>
        <w:jc w:val="left"/>
      </w:pPr>
      <w:r>
        <w:rPr>
          <w:rStyle w:val="FootnoteReference"/>
        </w:rPr>
        <w:footnoteRef/>
      </w:r>
      <w:r>
        <w:t xml:space="preserve"> UK Government – Consultation outcome – Supporting housing delivery and public sector infrastructure – 31 March 2021</w:t>
      </w:r>
      <w:r w:rsidR="00A17E69">
        <w:t>.</w:t>
      </w:r>
    </w:p>
  </w:footnote>
  <w:footnote w:id="10">
    <w:p w14:paraId="3B0D107D" w14:textId="22BDC680" w:rsidR="00AF322E" w:rsidRDefault="00AF322E" w:rsidP="00AF322E">
      <w:pPr>
        <w:pStyle w:val="FootnoteText"/>
        <w:ind w:left="0" w:firstLine="0"/>
      </w:pPr>
      <w:r>
        <w:rPr>
          <w:rStyle w:val="FootnoteReference"/>
        </w:rPr>
        <w:footnoteRef/>
      </w:r>
      <w:r>
        <w:t xml:space="preserve"> The incorporation of the PMs into the draft Plan will change the existing page numbers and </w:t>
      </w:r>
      <w:r w:rsidR="004C0AB0">
        <w:t xml:space="preserve">internal </w:t>
      </w:r>
      <w:r>
        <w:t>cross references such as th</w:t>
      </w:r>
      <w:r w:rsidR="004C0AB0">
        <w:t>ese</w:t>
      </w:r>
      <w:r>
        <w:t xml:space="preserve"> will need to be updated accordingly.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54ABD"/>
    <w:multiLevelType w:val="hybridMultilevel"/>
    <w:tmpl w:val="CC7A190C"/>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 w15:restartNumberingAfterBreak="0">
    <w:nsid w:val="036B4447"/>
    <w:multiLevelType w:val="hybridMultilevel"/>
    <w:tmpl w:val="30823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8195B"/>
    <w:multiLevelType w:val="hybridMultilevel"/>
    <w:tmpl w:val="8710D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05078E"/>
    <w:multiLevelType w:val="hybridMultilevel"/>
    <w:tmpl w:val="240C5186"/>
    <w:lvl w:ilvl="0" w:tplc="1582725A">
      <w:start w:val="3"/>
      <w:numFmt w:val="bullet"/>
      <w:lvlText w:val="-"/>
      <w:lvlJc w:val="left"/>
      <w:pPr>
        <w:ind w:left="2138" w:hanging="360"/>
      </w:pPr>
      <w:rPr>
        <w:rFonts w:ascii="Calibri" w:eastAsia="Times New Roman" w:hAnsi="Calibri" w:cs="Times New Roman"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 w15:restartNumberingAfterBreak="0">
    <w:nsid w:val="1BC765F9"/>
    <w:multiLevelType w:val="hybridMultilevel"/>
    <w:tmpl w:val="9E20C06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340BB8"/>
    <w:multiLevelType w:val="hybridMultilevel"/>
    <w:tmpl w:val="BECE6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CE218C"/>
    <w:multiLevelType w:val="hybridMultilevel"/>
    <w:tmpl w:val="3BDCC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42B80"/>
    <w:multiLevelType w:val="hybridMultilevel"/>
    <w:tmpl w:val="0734C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8A7139"/>
    <w:multiLevelType w:val="hybridMultilevel"/>
    <w:tmpl w:val="DE5E4312"/>
    <w:lvl w:ilvl="0" w:tplc="1582725A">
      <w:start w:val="3"/>
      <w:numFmt w:val="bullet"/>
      <w:lvlText w:val="-"/>
      <w:lvlJc w:val="left"/>
      <w:pPr>
        <w:ind w:left="1287" w:hanging="360"/>
      </w:pPr>
      <w:rPr>
        <w:rFonts w:ascii="Calibri" w:eastAsia="Times New Roman"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496A1AB1"/>
    <w:multiLevelType w:val="hybridMultilevel"/>
    <w:tmpl w:val="546AC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147567"/>
    <w:multiLevelType w:val="hybridMultilevel"/>
    <w:tmpl w:val="D9A2B1E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2056ECC0">
      <w:start w:val="1"/>
      <w:numFmt w:val="decimal"/>
      <w:lvlText w:val="%3."/>
      <w:lvlJc w:val="left"/>
      <w:pPr>
        <w:ind w:left="2340" w:hanging="360"/>
      </w:pPr>
      <w:rPr>
        <w:rFonts w:hint="default"/>
      </w:rPr>
    </w:lvl>
    <w:lvl w:ilvl="3" w:tplc="ACC0C718">
      <w:start w:val="1"/>
      <w:numFmt w:val="bullet"/>
      <w:lvlText w:val="-"/>
      <w:lvlJc w:val="left"/>
      <w:pPr>
        <w:ind w:left="2880" w:hanging="360"/>
      </w:pPr>
      <w:rPr>
        <w:rFonts w:ascii="Verdana" w:eastAsia="Times New Roman" w:hAnsi="Verdana"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4381E69"/>
    <w:multiLevelType w:val="hybridMultilevel"/>
    <w:tmpl w:val="D95C53B8"/>
    <w:lvl w:ilvl="0" w:tplc="F9F4AAE0">
      <w:start w:val="4"/>
      <w:numFmt w:val="bullet"/>
      <w:lvlText w:val="-"/>
      <w:lvlJc w:val="left"/>
      <w:pPr>
        <w:ind w:left="780" w:hanging="360"/>
      </w:pPr>
      <w:rPr>
        <w:rFonts w:ascii="Verdana" w:eastAsia="Times New Roman" w:hAnsi="Verdana"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5B4A5FD3"/>
    <w:multiLevelType w:val="hybridMultilevel"/>
    <w:tmpl w:val="52842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AB59BC"/>
    <w:multiLevelType w:val="hybridMultilevel"/>
    <w:tmpl w:val="1110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3"/>
  </w:num>
  <w:num w:numId="4">
    <w:abstractNumId w:val="12"/>
  </w:num>
  <w:num w:numId="5">
    <w:abstractNumId w:val="5"/>
  </w:num>
  <w:num w:numId="6">
    <w:abstractNumId w:val="11"/>
  </w:num>
  <w:num w:numId="7">
    <w:abstractNumId w:val="8"/>
  </w:num>
  <w:num w:numId="8">
    <w:abstractNumId w:val="6"/>
  </w:num>
  <w:num w:numId="9">
    <w:abstractNumId w:val="3"/>
  </w:num>
  <w:num w:numId="10">
    <w:abstractNumId w:val="0"/>
  </w:num>
  <w:num w:numId="11">
    <w:abstractNumId w:val="2"/>
  </w:num>
  <w:num w:numId="12">
    <w:abstractNumId w:val="1"/>
  </w:num>
  <w:num w:numId="13">
    <w:abstractNumId w:val="7"/>
  </w:num>
  <w:num w:numId="1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AD"/>
    <w:rsid w:val="00004432"/>
    <w:rsid w:val="000050AD"/>
    <w:rsid w:val="000109EB"/>
    <w:rsid w:val="00012150"/>
    <w:rsid w:val="00021C62"/>
    <w:rsid w:val="00024F33"/>
    <w:rsid w:val="00031AC5"/>
    <w:rsid w:val="00035100"/>
    <w:rsid w:val="000356AF"/>
    <w:rsid w:val="00035DF6"/>
    <w:rsid w:val="00045FD6"/>
    <w:rsid w:val="00046AED"/>
    <w:rsid w:val="000577D8"/>
    <w:rsid w:val="00060C6F"/>
    <w:rsid w:val="00064864"/>
    <w:rsid w:val="000670E7"/>
    <w:rsid w:val="0007104F"/>
    <w:rsid w:val="0007451F"/>
    <w:rsid w:val="000813EF"/>
    <w:rsid w:val="00082A08"/>
    <w:rsid w:val="0008649D"/>
    <w:rsid w:val="00087E6E"/>
    <w:rsid w:val="00090C21"/>
    <w:rsid w:val="00096952"/>
    <w:rsid w:val="00097DC2"/>
    <w:rsid w:val="000A567E"/>
    <w:rsid w:val="000A585E"/>
    <w:rsid w:val="000A6CDC"/>
    <w:rsid w:val="000A722B"/>
    <w:rsid w:val="000B059C"/>
    <w:rsid w:val="000B0F7F"/>
    <w:rsid w:val="000B1411"/>
    <w:rsid w:val="000B2A67"/>
    <w:rsid w:val="000B3144"/>
    <w:rsid w:val="000B344D"/>
    <w:rsid w:val="000C1E54"/>
    <w:rsid w:val="000C49A9"/>
    <w:rsid w:val="000D2D55"/>
    <w:rsid w:val="000D6743"/>
    <w:rsid w:val="000D7758"/>
    <w:rsid w:val="000F0387"/>
    <w:rsid w:val="000F5EB8"/>
    <w:rsid w:val="00102912"/>
    <w:rsid w:val="0010465A"/>
    <w:rsid w:val="00110C0A"/>
    <w:rsid w:val="001158A5"/>
    <w:rsid w:val="00124492"/>
    <w:rsid w:val="00125647"/>
    <w:rsid w:val="001260F3"/>
    <w:rsid w:val="001320B9"/>
    <w:rsid w:val="0013275E"/>
    <w:rsid w:val="001365AC"/>
    <w:rsid w:val="001365C1"/>
    <w:rsid w:val="001367DB"/>
    <w:rsid w:val="00146330"/>
    <w:rsid w:val="00146A8F"/>
    <w:rsid w:val="00151F95"/>
    <w:rsid w:val="00152550"/>
    <w:rsid w:val="001533B5"/>
    <w:rsid w:val="00156554"/>
    <w:rsid w:val="00156741"/>
    <w:rsid w:val="00156781"/>
    <w:rsid w:val="001634BF"/>
    <w:rsid w:val="001658C1"/>
    <w:rsid w:val="00170360"/>
    <w:rsid w:val="00175A1D"/>
    <w:rsid w:val="00186A3C"/>
    <w:rsid w:val="00186DFD"/>
    <w:rsid w:val="00192C6E"/>
    <w:rsid w:val="001945F9"/>
    <w:rsid w:val="0019515E"/>
    <w:rsid w:val="00195B0B"/>
    <w:rsid w:val="00195CC3"/>
    <w:rsid w:val="001A3536"/>
    <w:rsid w:val="001B4050"/>
    <w:rsid w:val="001C1B60"/>
    <w:rsid w:val="001C3B2B"/>
    <w:rsid w:val="001C4B82"/>
    <w:rsid w:val="001C4C86"/>
    <w:rsid w:val="001C5FCC"/>
    <w:rsid w:val="001C6571"/>
    <w:rsid w:val="001D0ABF"/>
    <w:rsid w:val="001D2D90"/>
    <w:rsid w:val="001D32D9"/>
    <w:rsid w:val="001D340A"/>
    <w:rsid w:val="001E4F13"/>
    <w:rsid w:val="001E7466"/>
    <w:rsid w:val="001F04C1"/>
    <w:rsid w:val="001F2507"/>
    <w:rsid w:val="001F641B"/>
    <w:rsid w:val="002022C5"/>
    <w:rsid w:val="00204241"/>
    <w:rsid w:val="00204B63"/>
    <w:rsid w:val="00206165"/>
    <w:rsid w:val="00211DAE"/>
    <w:rsid w:val="00212C13"/>
    <w:rsid w:val="0021409C"/>
    <w:rsid w:val="00222567"/>
    <w:rsid w:val="00230761"/>
    <w:rsid w:val="002355C6"/>
    <w:rsid w:val="0023666A"/>
    <w:rsid w:val="0023667C"/>
    <w:rsid w:val="00236780"/>
    <w:rsid w:val="00237036"/>
    <w:rsid w:val="00257A30"/>
    <w:rsid w:val="00261B87"/>
    <w:rsid w:val="00262021"/>
    <w:rsid w:val="002663E1"/>
    <w:rsid w:val="00267939"/>
    <w:rsid w:val="0027337E"/>
    <w:rsid w:val="00276226"/>
    <w:rsid w:val="00276BCF"/>
    <w:rsid w:val="00276D85"/>
    <w:rsid w:val="002776C2"/>
    <w:rsid w:val="0028507A"/>
    <w:rsid w:val="002A0D0A"/>
    <w:rsid w:val="002A1E3C"/>
    <w:rsid w:val="002A39B9"/>
    <w:rsid w:val="002A67D6"/>
    <w:rsid w:val="002B0246"/>
    <w:rsid w:val="002B1294"/>
    <w:rsid w:val="002B170A"/>
    <w:rsid w:val="002B260A"/>
    <w:rsid w:val="002B328A"/>
    <w:rsid w:val="002C180A"/>
    <w:rsid w:val="002C2AF2"/>
    <w:rsid w:val="002C2B6A"/>
    <w:rsid w:val="002C598B"/>
    <w:rsid w:val="002D20AD"/>
    <w:rsid w:val="002D31F0"/>
    <w:rsid w:val="002D3621"/>
    <w:rsid w:val="002D473C"/>
    <w:rsid w:val="002E0C46"/>
    <w:rsid w:val="002E4B66"/>
    <w:rsid w:val="002E78B2"/>
    <w:rsid w:val="002F1C07"/>
    <w:rsid w:val="002F1DF1"/>
    <w:rsid w:val="002F24FE"/>
    <w:rsid w:val="002F49B5"/>
    <w:rsid w:val="002F7A70"/>
    <w:rsid w:val="00303AA3"/>
    <w:rsid w:val="0030729F"/>
    <w:rsid w:val="00310098"/>
    <w:rsid w:val="003212F4"/>
    <w:rsid w:val="003225EE"/>
    <w:rsid w:val="003239B1"/>
    <w:rsid w:val="0033012E"/>
    <w:rsid w:val="00333B68"/>
    <w:rsid w:val="00341D9F"/>
    <w:rsid w:val="0034268F"/>
    <w:rsid w:val="00342F88"/>
    <w:rsid w:val="003449D2"/>
    <w:rsid w:val="003468E8"/>
    <w:rsid w:val="0035253E"/>
    <w:rsid w:val="00352723"/>
    <w:rsid w:val="00352ECE"/>
    <w:rsid w:val="00353FD0"/>
    <w:rsid w:val="00354872"/>
    <w:rsid w:val="003555D3"/>
    <w:rsid w:val="003558E9"/>
    <w:rsid w:val="00357E6A"/>
    <w:rsid w:val="00363D31"/>
    <w:rsid w:val="003730F2"/>
    <w:rsid w:val="00374830"/>
    <w:rsid w:val="0038720C"/>
    <w:rsid w:val="003923C0"/>
    <w:rsid w:val="00395313"/>
    <w:rsid w:val="0039759A"/>
    <w:rsid w:val="003A18CE"/>
    <w:rsid w:val="003A3751"/>
    <w:rsid w:val="003B2F13"/>
    <w:rsid w:val="003B372B"/>
    <w:rsid w:val="003B404B"/>
    <w:rsid w:val="003B7A76"/>
    <w:rsid w:val="003C3BFE"/>
    <w:rsid w:val="003C48AB"/>
    <w:rsid w:val="003C5B31"/>
    <w:rsid w:val="003C7CE7"/>
    <w:rsid w:val="003D43ED"/>
    <w:rsid w:val="003D4F0B"/>
    <w:rsid w:val="003E0584"/>
    <w:rsid w:val="003E14D2"/>
    <w:rsid w:val="003E41E9"/>
    <w:rsid w:val="003E5867"/>
    <w:rsid w:val="003E7816"/>
    <w:rsid w:val="003F1207"/>
    <w:rsid w:val="003F1D4E"/>
    <w:rsid w:val="003F4AD4"/>
    <w:rsid w:val="003F5AA1"/>
    <w:rsid w:val="003F7A91"/>
    <w:rsid w:val="0040450D"/>
    <w:rsid w:val="00405DBB"/>
    <w:rsid w:val="00406959"/>
    <w:rsid w:val="00410528"/>
    <w:rsid w:val="004105D6"/>
    <w:rsid w:val="0041336A"/>
    <w:rsid w:val="00413C57"/>
    <w:rsid w:val="004153E1"/>
    <w:rsid w:val="00421411"/>
    <w:rsid w:val="0042410E"/>
    <w:rsid w:val="0043181A"/>
    <w:rsid w:val="0043274B"/>
    <w:rsid w:val="00441DC1"/>
    <w:rsid w:val="00441F7E"/>
    <w:rsid w:val="00444EB0"/>
    <w:rsid w:val="00452105"/>
    <w:rsid w:val="00452FF2"/>
    <w:rsid w:val="00453722"/>
    <w:rsid w:val="0045437C"/>
    <w:rsid w:val="004602FE"/>
    <w:rsid w:val="004612BF"/>
    <w:rsid w:val="00462368"/>
    <w:rsid w:val="004647C6"/>
    <w:rsid w:val="004669EE"/>
    <w:rsid w:val="00473037"/>
    <w:rsid w:val="00476AC5"/>
    <w:rsid w:val="004839BE"/>
    <w:rsid w:val="00490672"/>
    <w:rsid w:val="00490C83"/>
    <w:rsid w:val="00494AFE"/>
    <w:rsid w:val="004A07AF"/>
    <w:rsid w:val="004A5907"/>
    <w:rsid w:val="004B17F5"/>
    <w:rsid w:val="004C0732"/>
    <w:rsid w:val="004C0AB0"/>
    <w:rsid w:val="004D0F26"/>
    <w:rsid w:val="004D23BE"/>
    <w:rsid w:val="004E55A6"/>
    <w:rsid w:val="004F2B95"/>
    <w:rsid w:val="004F4901"/>
    <w:rsid w:val="004F525D"/>
    <w:rsid w:val="004F5B3C"/>
    <w:rsid w:val="004F6826"/>
    <w:rsid w:val="004F6D8C"/>
    <w:rsid w:val="004F6F92"/>
    <w:rsid w:val="0050360F"/>
    <w:rsid w:val="00503EC9"/>
    <w:rsid w:val="005054DD"/>
    <w:rsid w:val="0051105D"/>
    <w:rsid w:val="00512C97"/>
    <w:rsid w:val="00514D35"/>
    <w:rsid w:val="005155BF"/>
    <w:rsid w:val="00516CFE"/>
    <w:rsid w:val="00517E79"/>
    <w:rsid w:val="0053329A"/>
    <w:rsid w:val="00534DFD"/>
    <w:rsid w:val="00536842"/>
    <w:rsid w:val="00541343"/>
    <w:rsid w:val="0054229A"/>
    <w:rsid w:val="0054410D"/>
    <w:rsid w:val="00551B3D"/>
    <w:rsid w:val="00553604"/>
    <w:rsid w:val="00554919"/>
    <w:rsid w:val="00554CC9"/>
    <w:rsid w:val="005558E5"/>
    <w:rsid w:val="005566D9"/>
    <w:rsid w:val="00557990"/>
    <w:rsid w:val="0056421B"/>
    <w:rsid w:val="00565A6D"/>
    <w:rsid w:val="00566402"/>
    <w:rsid w:val="00571B1A"/>
    <w:rsid w:val="00580858"/>
    <w:rsid w:val="00582B63"/>
    <w:rsid w:val="00590331"/>
    <w:rsid w:val="005976B9"/>
    <w:rsid w:val="005B3BAE"/>
    <w:rsid w:val="005B50E6"/>
    <w:rsid w:val="005B700B"/>
    <w:rsid w:val="005C2387"/>
    <w:rsid w:val="005C46B1"/>
    <w:rsid w:val="005D2FB1"/>
    <w:rsid w:val="005D310A"/>
    <w:rsid w:val="005D5B6C"/>
    <w:rsid w:val="005D5E33"/>
    <w:rsid w:val="005E402D"/>
    <w:rsid w:val="005E40C1"/>
    <w:rsid w:val="005E7115"/>
    <w:rsid w:val="005F0836"/>
    <w:rsid w:val="005F1BAA"/>
    <w:rsid w:val="005F20EF"/>
    <w:rsid w:val="005F4240"/>
    <w:rsid w:val="005F4B5D"/>
    <w:rsid w:val="005F5FF4"/>
    <w:rsid w:val="00613C36"/>
    <w:rsid w:val="00615A52"/>
    <w:rsid w:val="00621A34"/>
    <w:rsid w:val="00621AF6"/>
    <w:rsid w:val="0062282D"/>
    <w:rsid w:val="00623AF9"/>
    <w:rsid w:val="0062516E"/>
    <w:rsid w:val="00626097"/>
    <w:rsid w:val="006320AD"/>
    <w:rsid w:val="00637318"/>
    <w:rsid w:val="0064086C"/>
    <w:rsid w:val="00641BDA"/>
    <w:rsid w:val="00643F9B"/>
    <w:rsid w:val="00653223"/>
    <w:rsid w:val="006558C5"/>
    <w:rsid w:val="006602CD"/>
    <w:rsid w:val="00663143"/>
    <w:rsid w:val="00666EBF"/>
    <w:rsid w:val="00693D2A"/>
    <w:rsid w:val="00697D0A"/>
    <w:rsid w:val="006A2B50"/>
    <w:rsid w:val="006A3AFE"/>
    <w:rsid w:val="006A3FAD"/>
    <w:rsid w:val="006A65C2"/>
    <w:rsid w:val="006B2084"/>
    <w:rsid w:val="006B3CCB"/>
    <w:rsid w:val="006B570E"/>
    <w:rsid w:val="006B60F4"/>
    <w:rsid w:val="006C0B90"/>
    <w:rsid w:val="006C242B"/>
    <w:rsid w:val="006C2D4A"/>
    <w:rsid w:val="006C2F0A"/>
    <w:rsid w:val="006C41C8"/>
    <w:rsid w:val="006C71B6"/>
    <w:rsid w:val="006D35B4"/>
    <w:rsid w:val="006E3B0A"/>
    <w:rsid w:val="006E6B21"/>
    <w:rsid w:val="006F2669"/>
    <w:rsid w:val="006F2BBD"/>
    <w:rsid w:val="006F410B"/>
    <w:rsid w:val="006F6844"/>
    <w:rsid w:val="00703466"/>
    <w:rsid w:val="007072E6"/>
    <w:rsid w:val="00715A48"/>
    <w:rsid w:val="007169B2"/>
    <w:rsid w:val="007277E4"/>
    <w:rsid w:val="00733517"/>
    <w:rsid w:val="00734A57"/>
    <w:rsid w:val="00735E60"/>
    <w:rsid w:val="00737A03"/>
    <w:rsid w:val="0074340E"/>
    <w:rsid w:val="007532AF"/>
    <w:rsid w:val="00755E58"/>
    <w:rsid w:val="007601DC"/>
    <w:rsid w:val="00763B54"/>
    <w:rsid w:val="0076794E"/>
    <w:rsid w:val="007727B0"/>
    <w:rsid w:val="00773856"/>
    <w:rsid w:val="00773A81"/>
    <w:rsid w:val="00786AF4"/>
    <w:rsid w:val="00794435"/>
    <w:rsid w:val="00797F4E"/>
    <w:rsid w:val="007A7EA8"/>
    <w:rsid w:val="007C15A1"/>
    <w:rsid w:val="007C2442"/>
    <w:rsid w:val="007C2D78"/>
    <w:rsid w:val="007C6A53"/>
    <w:rsid w:val="007D4362"/>
    <w:rsid w:val="007D54D8"/>
    <w:rsid w:val="007E6CF2"/>
    <w:rsid w:val="007F18FD"/>
    <w:rsid w:val="00800F99"/>
    <w:rsid w:val="0080497E"/>
    <w:rsid w:val="008079CD"/>
    <w:rsid w:val="0081006B"/>
    <w:rsid w:val="008115B0"/>
    <w:rsid w:val="00820946"/>
    <w:rsid w:val="008212FD"/>
    <w:rsid w:val="00823292"/>
    <w:rsid w:val="00823F3F"/>
    <w:rsid w:val="008276BD"/>
    <w:rsid w:val="0083103F"/>
    <w:rsid w:val="00831ED4"/>
    <w:rsid w:val="0083572D"/>
    <w:rsid w:val="0083641B"/>
    <w:rsid w:val="00837D9F"/>
    <w:rsid w:val="00846A98"/>
    <w:rsid w:val="008472AA"/>
    <w:rsid w:val="00847668"/>
    <w:rsid w:val="008527D2"/>
    <w:rsid w:val="00852BF9"/>
    <w:rsid w:val="00855C44"/>
    <w:rsid w:val="00856B5D"/>
    <w:rsid w:val="00861A4E"/>
    <w:rsid w:val="00863D9D"/>
    <w:rsid w:val="0087061E"/>
    <w:rsid w:val="00874CFF"/>
    <w:rsid w:val="00883A49"/>
    <w:rsid w:val="0088415F"/>
    <w:rsid w:val="00887D0A"/>
    <w:rsid w:val="0089015C"/>
    <w:rsid w:val="0089096F"/>
    <w:rsid w:val="0089524C"/>
    <w:rsid w:val="00895E7C"/>
    <w:rsid w:val="008B2D10"/>
    <w:rsid w:val="008B3289"/>
    <w:rsid w:val="008B397B"/>
    <w:rsid w:val="008C1E94"/>
    <w:rsid w:val="008C3166"/>
    <w:rsid w:val="008C37FC"/>
    <w:rsid w:val="008C6113"/>
    <w:rsid w:val="008C6482"/>
    <w:rsid w:val="008D375A"/>
    <w:rsid w:val="008D6A78"/>
    <w:rsid w:val="008E2E51"/>
    <w:rsid w:val="008E38AA"/>
    <w:rsid w:val="008E40AC"/>
    <w:rsid w:val="008E56DC"/>
    <w:rsid w:val="008E6911"/>
    <w:rsid w:val="008F0C13"/>
    <w:rsid w:val="008F155F"/>
    <w:rsid w:val="008F28CE"/>
    <w:rsid w:val="008F7210"/>
    <w:rsid w:val="0090616C"/>
    <w:rsid w:val="009070F2"/>
    <w:rsid w:val="0091021D"/>
    <w:rsid w:val="009123D1"/>
    <w:rsid w:val="00915202"/>
    <w:rsid w:val="00917828"/>
    <w:rsid w:val="00920275"/>
    <w:rsid w:val="00923093"/>
    <w:rsid w:val="009230FD"/>
    <w:rsid w:val="00935330"/>
    <w:rsid w:val="009425DA"/>
    <w:rsid w:val="00946726"/>
    <w:rsid w:val="00947E60"/>
    <w:rsid w:val="00951825"/>
    <w:rsid w:val="00952FE9"/>
    <w:rsid w:val="009533EA"/>
    <w:rsid w:val="00955554"/>
    <w:rsid w:val="0096221E"/>
    <w:rsid w:val="009630D4"/>
    <w:rsid w:val="00963CCE"/>
    <w:rsid w:val="009641FD"/>
    <w:rsid w:val="009667F6"/>
    <w:rsid w:val="00967E58"/>
    <w:rsid w:val="009712C7"/>
    <w:rsid w:val="00971A14"/>
    <w:rsid w:val="00972553"/>
    <w:rsid w:val="00974EBD"/>
    <w:rsid w:val="0097546F"/>
    <w:rsid w:val="009834D8"/>
    <w:rsid w:val="009944DD"/>
    <w:rsid w:val="009964F9"/>
    <w:rsid w:val="0099699B"/>
    <w:rsid w:val="009A346A"/>
    <w:rsid w:val="009A3610"/>
    <w:rsid w:val="009A3BF6"/>
    <w:rsid w:val="009A4728"/>
    <w:rsid w:val="009B3CF5"/>
    <w:rsid w:val="009B41C6"/>
    <w:rsid w:val="009B64F9"/>
    <w:rsid w:val="009C0708"/>
    <w:rsid w:val="009C23F2"/>
    <w:rsid w:val="009C348C"/>
    <w:rsid w:val="009C61DE"/>
    <w:rsid w:val="009C65C7"/>
    <w:rsid w:val="009C7AB3"/>
    <w:rsid w:val="009D2E17"/>
    <w:rsid w:val="009D31F9"/>
    <w:rsid w:val="009E0DCF"/>
    <w:rsid w:val="009E342F"/>
    <w:rsid w:val="009E6665"/>
    <w:rsid w:val="009F48A7"/>
    <w:rsid w:val="009F56F3"/>
    <w:rsid w:val="009F685C"/>
    <w:rsid w:val="00A003A7"/>
    <w:rsid w:val="00A0250A"/>
    <w:rsid w:val="00A026B1"/>
    <w:rsid w:val="00A04A57"/>
    <w:rsid w:val="00A108B2"/>
    <w:rsid w:val="00A17E69"/>
    <w:rsid w:val="00A22E8C"/>
    <w:rsid w:val="00A25DAE"/>
    <w:rsid w:val="00A270F4"/>
    <w:rsid w:val="00A41ACE"/>
    <w:rsid w:val="00A427E8"/>
    <w:rsid w:val="00A42C8A"/>
    <w:rsid w:val="00A529B4"/>
    <w:rsid w:val="00A5482D"/>
    <w:rsid w:val="00A54F99"/>
    <w:rsid w:val="00A618E9"/>
    <w:rsid w:val="00A66D82"/>
    <w:rsid w:val="00A67284"/>
    <w:rsid w:val="00A674CC"/>
    <w:rsid w:val="00A67D48"/>
    <w:rsid w:val="00A67E7B"/>
    <w:rsid w:val="00A73AD5"/>
    <w:rsid w:val="00A74850"/>
    <w:rsid w:val="00A759D5"/>
    <w:rsid w:val="00A7621A"/>
    <w:rsid w:val="00A804ED"/>
    <w:rsid w:val="00A83B0F"/>
    <w:rsid w:val="00A877A7"/>
    <w:rsid w:val="00A912A1"/>
    <w:rsid w:val="00A91446"/>
    <w:rsid w:val="00A95370"/>
    <w:rsid w:val="00AA4778"/>
    <w:rsid w:val="00AA5407"/>
    <w:rsid w:val="00AA5BB2"/>
    <w:rsid w:val="00AA6BE3"/>
    <w:rsid w:val="00AB007A"/>
    <w:rsid w:val="00AB6D53"/>
    <w:rsid w:val="00AC080A"/>
    <w:rsid w:val="00AC37F0"/>
    <w:rsid w:val="00AD3B0B"/>
    <w:rsid w:val="00AD42A3"/>
    <w:rsid w:val="00AD5038"/>
    <w:rsid w:val="00AE0094"/>
    <w:rsid w:val="00AE6BE8"/>
    <w:rsid w:val="00AF322E"/>
    <w:rsid w:val="00AF3F27"/>
    <w:rsid w:val="00AF6281"/>
    <w:rsid w:val="00B02201"/>
    <w:rsid w:val="00B05465"/>
    <w:rsid w:val="00B05551"/>
    <w:rsid w:val="00B05820"/>
    <w:rsid w:val="00B1003A"/>
    <w:rsid w:val="00B12219"/>
    <w:rsid w:val="00B15C53"/>
    <w:rsid w:val="00B16DD0"/>
    <w:rsid w:val="00B217F7"/>
    <w:rsid w:val="00B2297D"/>
    <w:rsid w:val="00B249FD"/>
    <w:rsid w:val="00B27FD1"/>
    <w:rsid w:val="00B33E9F"/>
    <w:rsid w:val="00B446FC"/>
    <w:rsid w:val="00B50C22"/>
    <w:rsid w:val="00B51DAC"/>
    <w:rsid w:val="00B52CA9"/>
    <w:rsid w:val="00B53D6B"/>
    <w:rsid w:val="00B6152C"/>
    <w:rsid w:val="00B761EC"/>
    <w:rsid w:val="00B83C94"/>
    <w:rsid w:val="00B87641"/>
    <w:rsid w:val="00B906AC"/>
    <w:rsid w:val="00B96E67"/>
    <w:rsid w:val="00BA15DF"/>
    <w:rsid w:val="00BA2EC1"/>
    <w:rsid w:val="00BA6825"/>
    <w:rsid w:val="00BB0591"/>
    <w:rsid w:val="00BB191A"/>
    <w:rsid w:val="00BB4DC9"/>
    <w:rsid w:val="00BC5195"/>
    <w:rsid w:val="00BC7D6F"/>
    <w:rsid w:val="00BC7DC8"/>
    <w:rsid w:val="00BD0DA4"/>
    <w:rsid w:val="00BD1316"/>
    <w:rsid w:val="00BD1981"/>
    <w:rsid w:val="00BD4B9A"/>
    <w:rsid w:val="00BE068B"/>
    <w:rsid w:val="00BE2277"/>
    <w:rsid w:val="00BE5F4F"/>
    <w:rsid w:val="00BE6BDD"/>
    <w:rsid w:val="00BF1553"/>
    <w:rsid w:val="00BF3DE2"/>
    <w:rsid w:val="00BF65D0"/>
    <w:rsid w:val="00BF7AD0"/>
    <w:rsid w:val="00C00444"/>
    <w:rsid w:val="00C01E7B"/>
    <w:rsid w:val="00C024D8"/>
    <w:rsid w:val="00C03287"/>
    <w:rsid w:val="00C046F9"/>
    <w:rsid w:val="00C065F3"/>
    <w:rsid w:val="00C1246C"/>
    <w:rsid w:val="00C130B9"/>
    <w:rsid w:val="00C173C1"/>
    <w:rsid w:val="00C35F7A"/>
    <w:rsid w:val="00C37BA0"/>
    <w:rsid w:val="00C415C4"/>
    <w:rsid w:val="00C4299B"/>
    <w:rsid w:val="00C437D0"/>
    <w:rsid w:val="00C45A62"/>
    <w:rsid w:val="00C5005A"/>
    <w:rsid w:val="00C53C30"/>
    <w:rsid w:val="00C53FCE"/>
    <w:rsid w:val="00C578C0"/>
    <w:rsid w:val="00C66442"/>
    <w:rsid w:val="00C70958"/>
    <w:rsid w:val="00C76D91"/>
    <w:rsid w:val="00C77418"/>
    <w:rsid w:val="00C803B9"/>
    <w:rsid w:val="00C8132B"/>
    <w:rsid w:val="00C816CA"/>
    <w:rsid w:val="00C81AE9"/>
    <w:rsid w:val="00C820F1"/>
    <w:rsid w:val="00C82E01"/>
    <w:rsid w:val="00C84481"/>
    <w:rsid w:val="00C86825"/>
    <w:rsid w:val="00C86C96"/>
    <w:rsid w:val="00C911FC"/>
    <w:rsid w:val="00C91378"/>
    <w:rsid w:val="00C9510C"/>
    <w:rsid w:val="00CA68C0"/>
    <w:rsid w:val="00CB2A4B"/>
    <w:rsid w:val="00CB6F34"/>
    <w:rsid w:val="00CB7002"/>
    <w:rsid w:val="00CB7292"/>
    <w:rsid w:val="00CC127D"/>
    <w:rsid w:val="00CC61EA"/>
    <w:rsid w:val="00CC71CC"/>
    <w:rsid w:val="00CD1C13"/>
    <w:rsid w:val="00CD421C"/>
    <w:rsid w:val="00CD5450"/>
    <w:rsid w:val="00CD74B0"/>
    <w:rsid w:val="00CE61B9"/>
    <w:rsid w:val="00CE6C25"/>
    <w:rsid w:val="00CF13CE"/>
    <w:rsid w:val="00D12A35"/>
    <w:rsid w:val="00D14ABA"/>
    <w:rsid w:val="00D1657E"/>
    <w:rsid w:val="00D21417"/>
    <w:rsid w:val="00D223AD"/>
    <w:rsid w:val="00D2367E"/>
    <w:rsid w:val="00D248D1"/>
    <w:rsid w:val="00D249AC"/>
    <w:rsid w:val="00D35087"/>
    <w:rsid w:val="00D37304"/>
    <w:rsid w:val="00D41E91"/>
    <w:rsid w:val="00D4654B"/>
    <w:rsid w:val="00D47B17"/>
    <w:rsid w:val="00D52F00"/>
    <w:rsid w:val="00D54502"/>
    <w:rsid w:val="00D56BCA"/>
    <w:rsid w:val="00D60784"/>
    <w:rsid w:val="00D65E2D"/>
    <w:rsid w:val="00D66D16"/>
    <w:rsid w:val="00D6712E"/>
    <w:rsid w:val="00D70429"/>
    <w:rsid w:val="00D70BB3"/>
    <w:rsid w:val="00D71A1B"/>
    <w:rsid w:val="00D71CFF"/>
    <w:rsid w:val="00D80BFE"/>
    <w:rsid w:val="00D83E1F"/>
    <w:rsid w:val="00D8421C"/>
    <w:rsid w:val="00D847F7"/>
    <w:rsid w:val="00D85614"/>
    <w:rsid w:val="00D85D90"/>
    <w:rsid w:val="00D92235"/>
    <w:rsid w:val="00DA0078"/>
    <w:rsid w:val="00DA3DC7"/>
    <w:rsid w:val="00DB48B0"/>
    <w:rsid w:val="00DB6234"/>
    <w:rsid w:val="00DB6363"/>
    <w:rsid w:val="00DB69F2"/>
    <w:rsid w:val="00DC1D70"/>
    <w:rsid w:val="00DC562F"/>
    <w:rsid w:val="00DC79D6"/>
    <w:rsid w:val="00DC7B2F"/>
    <w:rsid w:val="00DD3046"/>
    <w:rsid w:val="00DD4184"/>
    <w:rsid w:val="00DE1A14"/>
    <w:rsid w:val="00DF33DB"/>
    <w:rsid w:val="00DF6D10"/>
    <w:rsid w:val="00E014E4"/>
    <w:rsid w:val="00E0427B"/>
    <w:rsid w:val="00E043D8"/>
    <w:rsid w:val="00E055B0"/>
    <w:rsid w:val="00E0560F"/>
    <w:rsid w:val="00E0645E"/>
    <w:rsid w:val="00E06DE2"/>
    <w:rsid w:val="00E14A91"/>
    <w:rsid w:val="00E15B6F"/>
    <w:rsid w:val="00E166C1"/>
    <w:rsid w:val="00E16725"/>
    <w:rsid w:val="00E21D97"/>
    <w:rsid w:val="00E2201D"/>
    <w:rsid w:val="00E231B4"/>
    <w:rsid w:val="00E35F6D"/>
    <w:rsid w:val="00E3716D"/>
    <w:rsid w:val="00E42756"/>
    <w:rsid w:val="00E43E24"/>
    <w:rsid w:val="00E53E2F"/>
    <w:rsid w:val="00E55775"/>
    <w:rsid w:val="00E6327A"/>
    <w:rsid w:val="00E66A35"/>
    <w:rsid w:val="00E670E4"/>
    <w:rsid w:val="00E718D8"/>
    <w:rsid w:val="00E72262"/>
    <w:rsid w:val="00E727E6"/>
    <w:rsid w:val="00E752AC"/>
    <w:rsid w:val="00E803DA"/>
    <w:rsid w:val="00E82D45"/>
    <w:rsid w:val="00E95085"/>
    <w:rsid w:val="00EA03A4"/>
    <w:rsid w:val="00EA07A8"/>
    <w:rsid w:val="00EA3F78"/>
    <w:rsid w:val="00EB2D04"/>
    <w:rsid w:val="00EB4D66"/>
    <w:rsid w:val="00EB6458"/>
    <w:rsid w:val="00EB6913"/>
    <w:rsid w:val="00EC7B72"/>
    <w:rsid w:val="00ED0E73"/>
    <w:rsid w:val="00ED4A26"/>
    <w:rsid w:val="00EE4729"/>
    <w:rsid w:val="00EE6687"/>
    <w:rsid w:val="00EF2349"/>
    <w:rsid w:val="00F02067"/>
    <w:rsid w:val="00F031FF"/>
    <w:rsid w:val="00F077D7"/>
    <w:rsid w:val="00F17B05"/>
    <w:rsid w:val="00F233B5"/>
    <w:rsid w:val="00F30587"/>
    <w:rsid w:val="00F30D32"/>
    <w:rsid w:val="00F40B22"/>
    <w:rsid w:val="00F421D4"/>
    <w:rsid w:val="00F43986"/>
    <w:rsid w:val="00F5450A"/>
    <w:rsid w:val="00F576FA"/>
    <w:rsid w:val="00F6402F"/>
    <w:rsid w:val="00F6737C"/>
    <w:rsid w:val="00F71FCD"/>
    <w:rsid w:val="00F7479D"/>
    <w:rsid w:val="00F76C63"/>
    <w:rsid w:val="00F82C24"/>
    <w:rsid w:val="00F82D95"/>
    <w:rsid w:val="00F85F22"/>
    <w:rsid w:val="00F86BFF"/>
    <w:rsid w:val="00F9341E"/>
    <w:rsid w:val="00F9544F"/>
    <w:rsid w:val="00F96C6F"/>
    <w:rsid w:val="00FA0583"/>
    <w:rsid w:val="00FA0C51"/>
    <w:rsid w:val="00FA0D97"/>
    <w:rsid w:val="00FB0770"/>
    <w:rsid w:val="00FB0C60"/>
    <w:rsid w:val="00FB0D86"/>
    <w:rsid w:val="00FB1B0B"/>
    <w:rsid w:val="00FB295A"/>
    <w:rsid w:val="00FB752C"/>
    <w:rsid w:val="00FB783C"/>
    <w:rsid w:val="00FC4D45"/>
    <w:rsid w:val="00FD1C45"/>
    <w:rsid w:val="00FD1F61"/>
    <w:rsid w:val="00FD22F7"/>
    <w:rsid w:val="00FD7CCB"/>
    <w:rsid w:val="00FF07C4"/>
    <w:rsid w:val="00FF22EE"/>
    <w:rsid w:val="00FF3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A24DF5"/>
  <w15:docId w15:val="{35E83C2B-56A3-4535-BE3C-BCD586CE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3AD"/>
    <w:pPr>
      <w:spacing w:after="0" w:line="240" w:lineRule="auto"/>
      <w:ind w:left="432" w:hanging="432"/>
      <w:jc w:val="both"/>
    </w:pPr>
    <w:rPr>
      <w:rFonts w:ascii="Verdana" w:eastAsia="Times New Roman" w:hAnsi="Verdana" w:cs="Times New Roman"/>
      <w:szCs w:val="20"/>
      <w:lang w:eastAsia="en-GB"/>
    </w:rPr>
  </w:style>
  <w:style w:type="paragraph" w:styleId="Heading1">
    <w:name w:val="heading 1"/>
    <w:basedOn w:val="Normal"/>
    <w:next w:val="Normal"/>
    <w:link w:val="Heading1Char"/>
    <w:qFormat/>
    <w:rsid w:val="00D223AD"/>
    <w:pPr>
      <w:keepNext/>
      <w:widowControl w:val="0"/>
      <w:spacing w:before="480" w:after="60"/>
      <w:outlineLvl w:val="0"/>
    </w:pPr>
    <w:rPr>
      <w:color w:val="808080"/>
      <w:kern w:val="28"/>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23AD"/>
    <w:rPr>
      <w:rFonts w:ascii="Verdana" w:eastAsia="Times New Roman" w:hAnsi="Verdana" w:cs="Times New Roman"/>
      <w:color w:val="808080"/>
      <w:kern w:val="28"/>
      <w:sz w:val="72"/>
      <w:szCs w:val="20"/>
      <w:lang w:eastAsia="en-GB"/>
    </w:rPr>
  </w:style>
  <w:style w:type="paragraph" w:styleId="Header">
    <w:name w:val="header"/>
    <w:basedOn w:val="Normal"/>
    <w:link w:val="HeaderChar"/>
    <w:uiPriority w:val="99"/>
    <w:unhideWhenUsed/>
    <w:rsid w:val="00F82C24"/>
    <w:pPr>
      <w:tabs>
        <w:tab w:val="center" w:pos="4513"/>
        <w:tab w:val="right" w:pos="9026"/>
      </w:tabs>
    </w:pPr>
  </w:style>
  <w:style w:type="character" w:customStyle="1" w:styleId="HeaderChar">
    <w:name w:val="Header Char"/>
    <w:basedOn w:val="DefaultParagraphFont"/>
    <w:link w:val="Header"/>
    <w:uiPriority w:val="99"/>
    <w:rsid w:val="00F82C24"/>
    <w:rPr>
      <w:rFonts w:ascii="Verdana" w:eastAsia="Times New Roman" w:hAnsi="Verdana" w:cs="Times New Roman"/>
      <w:szCs w:val="20"/>
      <w:lang w:eastAsia="en-GB"/>
    </w:rPr>
  </w:style>
  <w:style w:type="paragraph" w:styleId="Footer">
    <w:name w:val="footer"/>
    <w:basedOn w:val="Normal"/>
    <w:link w:val="FooterChar"/>
    <w:uiPriority w:val="99"/>
    <w:unhideWhenUsed/>
    <w:rsid w:val="00F82C24"/>
    <w:pPr>
      <w:tabs>
        <w:tab w:val="center" w:pos="4513"/>
        <w:tab w:val="right" w:pos="9026"/>
      </w:tabs>
    </w:pPr>
  </w:style>
  <w:style w:type="character" w:customStyle="1" w:styleId="FooterChar">
    <w:name w:val="Footer Char"/>
    <w:basedOn w:val="DefaultParagraphFont"/>
    <w:link w:val="Footer"/>
    <w:uiPriority w:val="99"/>
    <w:rsid w:val="00F82C24"/>
    <w:rPr>
      <w:rFonts w:ascii="Verdana" w:eastAsia="Times New Roman" w:hAnsi="Verdana" w:cs="Times New Roman"/>
      <w:szCs w:val="20"/>
      <w:lang w:eastAsia="en-GB"/>
    </w:rPr>
  </w:style>
  <w:style w:type="table" w:styleId="TableGrid">
    <w:name w:val="Table Grid"/>
    <w:basedOn w:val="TableNormal"/>
    <w:uiPriority w:val="39"/>
    <w:rsid w:val="00855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5554"/>
    <w:pPr>
      <w:ind w:left="720"/>
      <w:contextualSpacing/>
    </w:pPr>
  </w:style>
  <w:style w:type="paragraph" w:styleId="BalloonText">
    <w:name w:val="Balloon Text"/>
    <w:basedOn w:val="Normal"/>
    <w:link w:val="BalloonTextChar"/>
    <w:uiPriority w:val="99"/>
    <w:semiHidden/>
    <w:unhideWhenUsed/>
    <w:rsid w:val="009555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554"/>
    <w:rPr>
      <w:rFonts w:ascii="Segoe UI" w:eastAsia="Times New Roman" w:hAnsi="Segoe UI" w:cs="Segoe UI"/>
      <w:sz w:val="18"/>
      <w:szCs w:val="18"/>
      <w:lang w:eastAsia="en-GB"/>
    </w:rPr>
  </w:style>
  <w:style w:type="paragraph" w:customStyle="1" w:styleId="Default">
    <w:name w:val="Default"/>
    <w:rsid w:val="002F1C07"/>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F031FF"/>
    <w:rPr>
      <w:sz w:val="20"/>
    </w:rPr>
  </w:style>
  <w:style w:type="character" w:customStyle="1" w:styleId="FootnoteTextChar">
    <w:name w:val="Footnote Text Char"/>
    <w:basedOn w:val="DefaultParagraphFont"/>
    <w:link w:val="FootnoteText"/>
    <w:uiPriority w:val="99"/>
    <w:semiHidden/>
    <w:rsid w:val="00F031FF"/>
    <w:rPr>
      <w:rFonts w:ascii="Verdana" w:eastAsia="Times New Roman" w:hAnsi="Verdana" w:cs="Times New Roman"/>
      <w:sz w:val="20"/>
      <w:szCs w:val="20"/>
      <w:lang w:eastAsia="en-GB"/>
    </w:rPr>
  </w:style>
  <w:style w:type="character" w:styleId="FootnoteReference">
    <w:name w:val="footnote reference"/>
    <w:basedOn w:val="DefaultParagraphFont"/>
    <w:uiPriority w:val="99"/>
    <w:semiHidden/>
    <w:unhideWhenUsed/>
    <w:rsid w:val="00F031FF"/>
    <w:rPr>
      <w:vertAlign w:val="superscript"/>
    </w:rPr>
  </w:style>
  <w:style w:type="character" w:styleId="CommentReference">
    <w:name w:val="annotation reference"/>
    <w:basedOn w:val="DefaultParagraphFont"/>
    <w:uiPriority w:val="99"/>
    <w:semiHidden/>
    <w:unhideWhenUsed/>
    <w:rsid w:val="00F031FF"/>
    <w:rPr>
      <w:sz w:val="16"/>
      <w:szCs w:val="16"/>
    </w:rPr>
  </w:style>
  <w:style w:type="paragraph" w:styleId="CommentText">
    <w:name w:val="annotation text"/>
    <w:basedOn w:val="Normal"/>
    <w:link w:val="CommentTextChar"/>
    <w:uiPriority w:val="99"/>
    <w:unhideWhenUsed/>
    <w:rsid w:val="00F031FF"/>
    <w:rPr>
      <w:sz w:val="20"/>
    </w:rPr>
  </w:style>
  <w:style w:type="character" w:customStyle="1" w:styleId="CommentTextChar">
    <w:name w:val="Comment Text Char"/>
    <w:basedOn w:val="DefaultParagraphFont"/>
    <w:link w:val="CommentText"/>
    <w:uiPriority w:val="99"/>
    <w:rsid w:val="00F031FF"/>
    <w:rPr>
      <w:rFonts w:ascii="Verdana" w:eastAsia="Times New Roman" w:hAnsi="Verdan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031FF"/>
    <w:rPr>
      <w:b/>
      <w:bCs/>
    </w:rPr>
  </w:style>
  <w:style w:type="character" w:customStyle="1" w:styleId="CommentSubjectChar">
    <w:name w:val="Comment Subject Char"/>
    <w:basedOn w:val="CommentTextChar"/>
    <w:link w:val="CommentSubject"/>
    <w:uiPriority w:val="99"/>
    <w:semiHidden/>
    <w:rsid w:val="00F031FF"/>
    <w:rPr>
      <w:rFonts w:ascii="Verdana" w:eastAsia="Times New Roman" w:hAnsi="Verdana" w:cs="Times New Roman"/>
      <w:b/>
      <w:bCs/>
      <w:sz w:val="20"/>
      <w:szCs w:val="20"/>
      <w:lang w:eastAsia="en-GB"/>
    </w:rPr>
  </w:style>
  <w:style w:type="paragraph" w:styleId="Revision">
    <w:name w:val="Revision"/>
    <w:hidden/>
    <w:uiPriority w:val="99"/>
    <w:semiHidden/>
    <w:rsid w:val="00735E60"/>
    <w:pPr>
      <w:spacing w:after="0" w:line="240" w:lineRule="auto"/>
    </w:pPr>
    <w:rPr>
      <w:rFonts w:ascii="Verdana" w:eastAsia="Times New Roman" w:hAnsi="Verdana" w:cs="Times New Roman"/>
      <w:szCs w:val="20"/>
      <w:lang w:eastAsia="en-GB"/>
    </w:rPr>
  </w:style>
  <w:style w:type="character" w:styleId="Hyperlink">
    <w:name w:val="Hyperlink"/>
    <w:basedOn w:val="DefaultParagraphFont"/>
    <w:uiPriority w:val="99"/>
    <w:unhideWhenUsed/>
    <w:rsid w:val="003F1207"/>
    <w:rPr>
      <w:color w:val="0563C1" w:themeColor="hyperlink"/>
      <w:u w:val="single"/>
    </w:rPr>
  </w:style>
  <w:style w:type="character" w:styleId="UnresolvedMention">
    <w:name w:val="Unresolved Mention"/>
    <w:basedOn w:val="DefaultParagraphFont"/>
    <w:uiPriority w:val="99"/>
    <w:semiHidden/>
    <w:unhideWhenUsed/>
    <w:rsid w:val="003F1207"/>
    <w:rPr>
      <w:color w:val="605E5C"/>
      <w:shd w:val="clear" w:color="auto" w:fill="E1DFDD"/>
    </w:rPr>
  </w:style>
  <w:style w:type="character" w:styleId="FollowedHyperlink">
    <w:name w:val="FollowedHyperlink"/>
    <w:basedOn w:val="DefaultParagraphFont"/>
    <w:uiPriority w:val="99"/>
    <w:semiHidden/>
    <w:unhideWhenUsed/>
    <w:rsid w:val="009E0D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111523">
      <w:bodyDiv w:val="1"/>
      <w:marLeft w:val="0"/>
      <w:marRight w:val="0"/>
      <w:marTop w:val="0"/>
      <w:marBottom w:val="0"/>
      <w:divBdr>
        <w:top w:val="none" w:sz="0" w:space="0" w:color="auto"/>
        <w:left w:val="none" w:sz="0" w:space="0" w:color="auto"/>
        <w:bottom w:val="none" w:sz="0" w:space="0" w:color="auto"/>
        <w:right w:val="none" w:sz="0" w:space="0" w:color="auto"/>
      </w:divBdr>
      <w:divsChild>
        <w:div w:id="1761294871">
          <w:marLeft w:val="0"/>
          <w:marRight w:val="0"/>
          <w:marTop w:val="0"/>
          <w:marBottom w:val="0"/>
          <w:divBdr>
            <w:top w:val="none" w:sz="0" w:space="0" w:color="auto"/>
            <w:left w:val="none" w:sz="0" w:space="0" w:color="auto"/>
            <w:bottom w:val="none" w:sz="0" w:space="0" w:color="auto"/>
            <w:right w:val="none" w:sz="0" w:space="0" w:color="auto"/>
          </w:divBdr>
          <w:divsChild>
            <w:div w:id="1615748405">
              <w:marLeft w:val="0"/>
              <w:marRight w:val="0"/>
              <w:marTop w:val="0"/>
              <w:marBottom w:val="0"/>
              <w:divBdr>
                <w:top w:val="none" w:sz="0" w:space="0" w:color="auto"/>
                <w:left w:val="none" w:sz="0" w:space="0" w:color="auto"/>
                <w:bottom w:val="none" w:sz="0" w:space="0" w:color="auto"/>
                <w:right w:val="none" w:sz="0" w:space="0" w:color="auto"/>
              </w:divBdr>
              <w:divsChild>
                <w:div w:id="112901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7623">
      <w:bodyDiv w:val="1"/>
      <w:marLeft w:val="0"/>
      <w:marRight w:val="0"/>
      <w:marTop w:val="0"/>
      <w:marBottom w:val="0"/>
      <w:divBdr>
        <w:top w:val="none" w:sz="0" w:space="0" w:color="auto"/>
        <w:left w:val="none" w:sz="0" w:space="0" w:color="auto"/>
        <w:bottom w:val="none" w:sz="0" w:space="0" w:color="auto"/>
        <w:right w:val="none" w:sz="0" w:space="0" w:color="auto"/>
      </w:divBdr>
      <w:divsChild>
        <w:div w:id="481120043">
          <w:marLeft w:val="0"/>
          <w:marRight w:val="0"/>
          <w:marTop w:val="0"/>
          <w:marBottom w:val="0"/>
          <w:divBdr>
            <w:top w:val="none" w:sz="0" w:space="0" w:color="auto"/>
            <w:left w:val="none" w:sz="0" w:space="0" w:color="auto"/>
            <w:bottom w:val="none" w:sz="0" w:space="0" w:color="auto"/>
            <w:right w:val="none" w:sz="0" w:space="0" w:color="auto"/>
          </w:divBdr>
          <w:divsChild>
            <w:div w:id="1482111851">
              <w:marLeft w:val="0"/>
              <w:marRight w:val="0"/>
              <w:marTop w:val="0"/>
              <w:marBottom w:val="0"/>
              <w:divBdr>
                <w:top w:val="none" w:sz="0" w:space="0" w:color="auto"/>
                <w:left w:val="none" w:sz="0" w:space="0" w:color="auto"/>
                <w:bottom w:val="none" w:sz="0" w:space="0" w:color="auto"/>
                <w:right w:val="none" w:sz="0" w:space="0" w:color="auto"/>
              </w:divBdr>
              <w:divsChild>
                <w:div w:id="11019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westminster.gov.uk/planning-building-and-environmental-regulations/planning-policy/queens-park-neighbourhood-plan/examination-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713FA-7FC8-4357-9EA4-BCF4F480F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6728</Words>
  <Characters>38352</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Armitage</dc:creator>
  <cp:lastModifiedBy>steve.carnaby@intelligentplans.co.uk</cp:lastModifiedBy>
  <cp:revision>4</cp:revision>
  <cp:lastPrinted>2021-05-20T13:54:00Z</cp:lastPrinted>
  <dcterms:created xsi:type="dcterms:W3CDTF">2021-06-07T12:41:00Z</dcterms:created>
  <dcterms:modified xsi:type="dcterms:W3CDTF">2021-06-08T14:39:00Z</dcterms:modified>
</cp:coreProperties>
</file>