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FB" w:rsidRDefault="000A1CFB" w:rsidP="00726B9D">
      <w:pPr>
        <w:pStyle w:val="Sectionhead"/>
        <w:spacing w:before="100" w:beforeAutospacing="1" w:after="100" w:afterAutospacing="1" w:line="240" w:lineRule="atLeast"/>
        <w:jc w:val="right"/>
        <w:rPr>
          <w:sz w:val="24"/>
          <w:szCs w:val="24"/>
          <w:lang w:val="en-GB"/>
        </w:rPr>
      </w:pPr>
      <w:bookmarkStart w:id="0" w:name="_GoBack"/>
      <w:bookmarkEnd w:id="0"/>
      <w:r>
        <w:rPr>
          <w:sz w:val="24"/>
          <w:szCs w:val="24"/>
          <w:lang w:val="en-GB"/>
        </w:rPr>
        <w:tab/>
      </w:r>
    </w:p>
    <w:p w:rsidR="00A84DF9" w:rsidRPr="00464058" w:rsidRDefault="00F62201" w:rsidP="00A84DF9">
      <w:pPr>
        <w:pStyle w:val="Sectionhead"/>
        <w:spacing w:before="100" w:beforeAutospacing="1" w:after="100" w:afterAutospacing="1" w:line="240" w:lineRule="atLeast"/>
        <w:rPr>
          <w:bCs/>
          <w:sz w:val="28"/>
          <w:szCs w:val="28"/>
          <w:lang w:val="en-GB"/>
        </w:rPr>
      </w:pPr>
      <w:r w:rsidRPr="00464058">
        <w:rPr>
          <w:bCs/>
          <w:sz w:val="28"/>
          <w:szCs w:val="28"/>
          <w:lang w:val="en-GB"/>
        </w:rPr>
        <w:t xml:space="preserve">Temporary </w:t>
      </w:r>
      <w:r w:rsidR="004A4DC4">
        <w:rPr>
          <w:bCs/>
          <w:sz w:val="28"/>
          <w:szCs w:val="28"/>
          <w:lang w:val="en-GB"/>
        </w:rPr>
        <w:t>a</w:t>
      </w:r>
      <w:r w:rsidRPr="00464058">
        <w:rPr>
          <w:bCs/>
          <w:sz w:val="28"/>
          <w:szCs w:val="28"/>
          <w:lang w:val="en-GB"/>
        </w:rPr>
        <w:t xml:space="preserve">bsence </w:t>
      </w:r>
      <w:r w:rsidR="004A4DC4">
        <w:rPr>
          <w:bCs/>
          <w:sz w:val="28"/>
          <w:szCs w:val="28"/>
          <w:lang w:val="en-GB"/>
        </w:rPr>
        <w:t>t</w:t>
      </w:r>
      <w:r w:rsidRPr="00464058">
        <w:rPr>
          <w:bCs/>
          <w:sz w:val="28"/>
          <w:szCs w:val="28"/>
          <w:lang w:val="en-GB"/>
        </w:rPr>
        <w:t>able</w:t>
      </w:r>
    </w:p>
    <w:p w:rsidR="00A84DF9" w:rsidRDefault="00AE65D4" w:rsidP="00464058">
      <w:pPr>
        <w:pStyle w:val="Sectionhead"/>
        <w:spacing w:before="100" w:beforeAutospacing="1" w:after="100" w:afterAutospacing="1" w:line="240" w:lineRule="atLeast"/>
        <w:rPr>
          <w:b w:val="0"/>
          <w:bCs/>
          <w:sz w:val="24"/>
          <w:szCs w:val="24"/>
          <w:lang w:val="en-GB"/>
        </w:rPr>
      </w:pPr>
      <w:r>
        <w:rPr>
          <w:b w:val="0"/>
          <w:bCs/>
          <w:sz w:val="24"/>
          <w:szCs w:val="24"/>
          <w:lang w:val="en-GB"/>
        </w:rPr>
        <w:t xml:space="preserve">We have </w:t>
      </w:r>
      <w:r w:rsidR="00E070A8">
        <w:rPr>
          <w:b w:val="0"/>
          <w:bCs/>
          <w:sz w:val="24"/>
          <w:szCs w:val="24"/>
          <w:lang w:val="en-GB"/>
        </w:rPr>
        <w:t>produced this table to illustrate and help identify the differences that now exist between temporary absences within GB and outside of GB.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5104"/>
        <w:gridCol w:w="2552"/>
        <w:gridCol w:w="2835"/>
      </w:tblGrid>
      <w:tr w:rsidR="0004003F" w:rsidRPr="00A84DF9" w:rsidTr="00E070A8">
        <w:tc>
          <w:tcPr>
            <w:tcW w:w="5104" w:type="dxa"/>
          </w:tcPr>
          <w:p w:rsidR="0004003F" w:rsidRDefault="006B7608" w:rsidP="0004003F">
            <w:pPr>
              <w:pStyle w:val="Sectionhead"/>
              <w:spacing w:before="100" w:beforeAutospacing="1" w:after="100" w:afterAutospacing="1" w:line="240" w:lineRule="atLeast"/>
              <w:rPr>
                <w:bCs/>
                <w:sz w:val="24"/>
                <w:szCs w:val="24"/>
                <w:lang w:val="en-GB"/>
              </w:rPr>
            </w:pPr>
            <w:r w:rsidRPr="00A84DF9">
              <w:rPr>
                <w:bCs/>
                <w:sz w:val="24"/>
                <w:szCs w:val="24"/>
                <w:lang w:val="en-GB"/>
              </w:rPr>
              <w:t>Circumstances of absence</w:t>
            </w:r>
          </w:p>
          <w:p w:rsidR="002927C3" w:rsidRPr="00A84DF9" w:rsidRDefault="002927C3" w:rsidP="0004003F">
            <w:pPr>
              <w:pStyle w:val="Sectionhead"/>
              <w:spacing w:before="100" w:beforeAutospacing="1" w:after="100" w:afterAutospacing="1" w:line="240" w:lineRule="atLeast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:rsidR="0004003F" w:rsidRPr="00A84DF9" w:rsidRDefault="0004003F" w:rsidP="0004003F">
            <w:pPr>
              <w:pStyle w:val="Sectionhead"/>
              <w:spacing w:before="100" w:beforeAutospacing="1" w:after="100" w:afterAutospacing="1" w:line="240" w:lineRule="atLeast"/>
              <w:rPr>
                <w:bCs/>
                <w:sz w:val="24"/>
                <w:szCs w:val="24"/>
                <w:lang w:val="en-GB"/>
              </w:rPr>
            </w:pPr>
            <w:r w:rsidRPr="00A84DF9">
              <w:rPr>
                <w:bCs/>
                <w:sz w:val="24"/>
                <w:szCs w:val="24"/>
                <w:lang w:val="en-GB"/>
              </w:rPr>
              <w:t>Within Great Britain</w:t>
            </w:r>
          </w:p>
        </w:tc>
        <w:tc>
          <w:tcPr>
            <w:tcW w:w="2835" w:type="dxa"/>
          </w:tcPr>
          <w:p w:rsidR="0004003F" w:rsidRPr="00A84DF9" w:rsidRDefault="0004003F" w:rsidP="00DC525A">
            <w:pPr>
              <w:pStyle w:val="Sectionhead"/>
              <w:spacing w:before="100" w:beforeAutospacing="1" w:after="100" w:afterAutospacing="1" w:line="240" w:lineRule="atLeast"/>
              <w:rPr>
                <w:bCs/>
                <w:sz w:val="24"/>
                <w:szCs w:val="24"/>
                <w:lang w:val="en-GB"/>
              </w:rPr>
            </w:pPr>
            <w:r w:rsidRPr="00A84DF9">
              <w:rPr>
                <w:bCs/>
                <w:sz w:val="24"/>
                <w:szCs w:val="24"/>
                <w:lang w:val="en-GB"/>
              </w:rPr>
              <w:t>Outside Great Britain</w:t>
            </w:r>
          </w:p>
        </w:tc>
      </w:tr>
      <w:tr w:rsidR="00701514" w:rsidRPr="00A84DF9" w:rsidTr="00E070A8">
        <w:tc>
          <w:tcPr>
            <w:tcW w:w="5104" w:type="dxa"/>
          </w:tcPr>
          <w:p w:rsidR="00701514" w:rsidRPr="00A84DF9" w:rsidRDefault="00701514" w:rsidP="00701514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A person detained on remand pending t</w:t>
            </w:r>
            <w:r w:rsidR="003247A1" w:rsidRPr="00A84DF9">
              <w:rPr>
                <w:b w:val="0"/>
                <w:bCs/>
                <w:sz w:val="24"/>
                <w:szCs w:val="24"/>
                <w:lang w:val="en-GB"/>
              </w:rPr>
              <w:t>r</w:t>
            </w:r>
            <w:r w:rsidRPr="00A84DF9">
              <w:rPr>
                <w:b w:val="0"/>
                <w:bCs/>
                <w:sz w:val="24"/>
                <w:szCs w:val="24"/>
                <w:lang w:val="en-GB"/>
              </w:rPr>
              <w:t>ial or sentence upon conviction or as a condition of bail to reside in a dwelling other than their home</w:t>
            </w:r>
          </w:p>
        </w:tc>
        <w:tc>
          <w:tcPr>
            <w:tcW w:w="2552" w:type="dxa"/>
          </w:tcPr>
          <w:p w:rsidR="00701514" w:rsidRPr="00A84DF9" w:rsidRDefault="00701514" w:rsidP="00701514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52 weeks</w:t>
            </w:r>
          </w:p>
        </w:tc>
        <w:tc>
          <w:tcPr>
            <w:tcW w:w="2835" w:type="dxa"/>
          </w:tcPr>
          <w:p w:rsidR="00701514" w:rsidRPr="00A84DF9" w:rsidRDefault="00701514" w:rsidP="00701514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4 weeks</w:t>
            </w:r>
          </w:p>
        </w:tc>
      </w:tr>
      <w:tr w:rsidR="00701514" w:rsidRPr="00A84DF9" w:rsidTr="00E070A8">
        <w:tc>
          <w:tcPr>
            <w:tcW w:w="5104" w:type="dxa"/>
          </w:tcPr>
          <w:p w:rsidR="00701514" w:rsidRPr="00A84DF9" w:rsidRDefault="00701514" w:rsidP="00701514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A person in a hospital or similar institution as a patient</w:t>
            </w:r>
          </w:p>
        </w:tc>
        <w:tc>
          <w:tcPr>
            <w:tcW w:w="2552" w:type="dxa"/>
          </w:tcPr>
          <w:p w:rsidR="00701514" w:rsidRPr="00A84DF9" w:rsidRDefault="00701514" w:rsidP="00701514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52 weeks</w:t>
            </w:r>
          </w:p>
        </w:tc>
        <w:tc>
          <w:tcPr>
            <w:tcW w:w="2835" w:type="dxa"/>
          </w:tcPr>
          <w:p w:rsidR="00701514" w:rsidRPr="00A84DF9" w:rsidRDefault="00701514" w:rsidP="00701514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26 weeks</w:t>
            </w:r>
          </w:p>
        </w:tc>
      </w:tr>
      <w:tr w:rsidR="00701514" w:rsidRPr="00A84DF9" w:rsidTr="00E070A8">
        <w:tc>
          <w:tcPr>
            <w:tcW w:w="5104" w:type="dxa"/>
          </w:tcPr>
          <w:p w:rsidR="00701514" w:rsidRPr="00A84DF9" w:rsidRDefault="00701514" w:rsidP="00A02993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 xml:space="preserve">A person, their partner or </w:t>
            </w:r>
            <w:r w:rsidR="00F22F8F" w:rsidRPr="00A84DF9">
              <w:rPr>
                <w:b w:val="0"/>
                <w:bCs/>
                <w:sz w:val="24"/>
                <w:szCs w:val="24"/>
                <w:lang w:val="en-GB"/>
              </w:rPr>
              <w:t>dependent</w:t>
            </w:r>
            <w:r w:rsidRPr="00A84DF9">
              <w:rPr>
                <w:b w:val="0"/>
                <w:bCs/>
                <w:sz w:val="24"/>
                <w:szCs w:val="24"/>
                <w:lang w:val="en-GB"/>
              </w:rPr>
              <w:t xml:space="preserve"> child undergoing medical treatment, medically approved convalescence in accommodation other than residential accommodation</w:t>
            </w:r>
          </w:p>
        </w:tc>
        <w:tc>
          <w:tcPr>
            <w:tcW w:w="2552" w:type="dxa"/>
          </w:tcPr>
          <w:p w:rsidR="00701514" w:rsidRPr="00A84DF9" w:rsidRDefault="004A26A7" w:rsidP="003247A1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52</w:t>
            </w:r>
            <w:r w:rsidR="00701514" w:rsidRPr="00A84DF9">
              <w:rPr>
                <w:b w:val="0"/>
                <w:bCs/>
                <w:sz w:val="24"/>
                <w:szCs w:val="24"/>
                <w:lang w:val="en-GB"/>
              </w:rPr>
              <w:t xml:space="preserve"> weeks</w:t>
            </w:r>
          </w:p>
        </w:tc>
        <w:tc>
          <w:tcPr>
            <w:tcW w:w="2835" w:type="dxa"/>
          </w:tcPr>
          <w:p w:rsidR="00701514" w:rsidRPr="00A84DF9" w:rsidRDefault="00701514" w:rsidP="00701514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26 weeks</w:t>
            </w:r>
          </w:p>
        </w:tc>
      </w:tr>
      <w:tr w:rsidR="00701514" w:rsidRPr="00A84DF9" w:rsidTr="00A02993">
        <w:trPr>
          <w:trHeight w:val="467"/>
        </w:trPr>
        <w:tc>
          <w:tcPr>
            <w:tcW w:w="5104" w:type="dxa"/>
          </w:tcPr>
          <w:p w:rsidR="00A02993" w:rsidRPr="00A84DF9" w:rsidRDefault="00701514" w:rsidP="00A02993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A training course</w:t>
            </w:r>
            <w:r w:rsidR="003247A1" w:rsidRPr="00A84DF9">
              <w:rPr>
                <w:b w:val="0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:rsidR="00701514" w:rsidRPr="00A84DF9" w:rsidRDefault="004A26A7" w:rsidP="00701514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52</w:t>
            </w:r>
            <w:r w:rsidR="00701514" w:rsidRPr="00A84DF9">
              <w:rPr>
                <w:b w:val="0"/>
                <w:bCs/>
                <w:sz w:val="24"/>
                <w:szCs w:val="24"/>
                <w:lang w:val="en-GB"/>
              </w:rPr>
              <w:t xml:space="preserve"> weeks</w:t>
            </w:r>
          </w:p>
        </w:tc>
        <w:tc>
          <w:tcPr>
            <w:tcW w:w="2835" w:type="dxa"/>
          </w:tcPr>
          <w:p w:rsidR="00701514" w:rsidRPr="00A84DF9" w:rsidRDefault="00701514" w:rsidP="00701514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4 weeks</w:t>
            </w:r>
          </w:p>
        </w:tc>
      </w:tr>
      <w:tr w:rsidR="00701514" w:rsidRPr="00A84DF9" w:rsidTr="00E070A8">
        <w:tc>
          <w:tcPr>
            <w:tcW w:w="5104" w:type="dxa"/>
          </w:tcPr>
          <w:p w:rsidR="00701514" w:rsidRPr="00A84DF9" w:rsidRDefault="00701514" w:rsidP="00464058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A person who is absent and undertaking medically approved care of a person residing in GB or elsewhere</w:t>
            </w:r>
          </w:p>
        </w:tc>
        <w:tc>
          <w:tcPr>
            <w:tcW w:w="2552" w:type="dxa"/>
          </w:tcPr>
          <w:p w:rsidR="00701514" w:rsidRPr="00A84DF9" w:rsidRDefault="004A26A7" w:rsidP="00701514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52</w:t>
            </w:r>
            <w:r w:rsidR="00701514" w:rsidRPr="00A84DF9">
              <w:rPr>
                <w:b w:val="0"/>
                <w:bCs/>
                <w:sz w:val="24"/>
                <w:szCs w:val="24"/>
                <w:lang w:val="en-GB"/>
              </w:rPr>
              <w:t xml:space="preserve"> weeks</w:t>
            </w:r>
          </w:p>
        </w:tc>
        <w:tc>
          <w:tcPr>
            <w:tcW w:w="2835" w:type="dxa"/>
          </w:tcPr>
          <w:p w:rsidR="00701514" w:rsidRPr="00A84DF9" w:rsidRDefault="00701514" w:rsidP="00701514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4 weeks</w:t>
            </w:r>
          </w:p>
        </w:tc>
      </w:tr>
      <w:tr w:rsidR="004B467C" w:rsidRPr="00A84DF9" w:rsidTr="00E070A8">
        <w:tc>
          <w:tcPr>
            <w:tcW w:w="5104" w:type="dxa"/>
          </w:tcPr>
          <w:p w:rsidR="004B467C" w:rsidRPr="00A84DF9" w:rsidRDefault="004B467C" w:rsidP="004B467C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A person who is caring for child whose parent or guardian is temporarily absent from the home of that parent or guardian and receiving medically approved care or medical treatment</w:t>
            </w:r>
          </w:p>
        </w:tc>
        <w:tc>
          <w:tcPr>
            <w:tcW w:w="2552" w:type="dxa"/>
          </w:tcPr>
          <w:p w:rsidR="004B467C" w:rsidRPr="00A84DF9" w:rsidRDefault="004B467C" w:rsidP="004B467C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52 weeks</w:t>
            </w:r>
          </w:p>
        </w:tc>
        <w:tc>
          <w:tcPr>
            <w:tcW w:w="2835" w:type="dxa"/>
          </w:tcPr>
          <w:p w:rsidR="004B467C" w:rsidRPr="00A84DF9" w:rsidRDefault="004B467C" w:rsidP="004B467C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4 weeks</w:t>
            </w:r>
          </w:p>
        </w:tc>
      </w:tr>
      <w:tr w:rsidR="004B467C" w:rsidRPr="00A84DF9" w:rsidTr="00E070A8">
        <w:tc>
          <w:tcPr>
            <w:tcW w:w="5104" w:type="dxa"/>
          </w:tcPr>
          <w:p w:rsidR="004B467C" w:rsidRPr="00A84DF9" w:rsidRDefault="004B467C" w:rsidP="00A02993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 xml:space="preserve">A person who </w:t>
            </w:r>
            <w:r w:rsidR="00A02993">
              <w:rPr>
                <w:b w:val="0"/>
                <w:bCs/>
                <w:sz w:val="24"/>
                <w:szCs w:val="24"/>
                <w:lang w:val="en-GB"/>
              </w:rPr>
              <w:t xml:space="preserve">is </w:t>
            </w:r>
            <w:r w:rsidRPr="00A84DF9">
              <w:rPr>
                <w:b w:val="0"/>
                <w:bCs/>
                <w:sz w:val="24"/>
                <w:szCs w:val="24"/>
                <w:lang w:val="en-GB"/>
              </w:rPr>
              <w:t>receiving medically approved care provided in accommodation other than residential accommodation</w:t>
            </w:r>
          </w:p>
        </w:tc>
        <w:tc>
          <w:tcPr>
            <w:tcW w:w="2552" w:type="dxa"/>
          </w:tcPr>
          <w:p w:rsidR="004B467C" w:rsidRPr="00A84DF9" w:rsidRDefault="00A84DF9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52 weeks</w:t>
            </w:r>
          </w:p>
        </w:tc>
        <w:tc>
          <w:tcPr>
            <w:tcW w:w="2835" w:type="dxa"/>
          </w:tcPr>
          <w:p w:rsidR="004B467C" w:rsidRPr="00A84DF9" w:rsidRDefault="004B467C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26 weeks</w:t>
            </w:r>
          </w:p>
        </w:tc>
      </w:tr>
      <w:tr w:rsidR="004B467C" w:rsidRPr="00A84DF9" w:rsidTr="002927C3">
        <w:trPr>
          <w:trHeight w:val="397"/>
        </w:trPr>
        <w:tc>
          <w:tcPr>
            <w:tcW w:w="5104" w:type="dxa"/>
          </w:tcPr>
          <w:p w:rsidR="002927C3" w:rsidRPr="00A84DF9" w:rsidRDefault="004B467C" w:rsidP="002927C3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 xml:space="preserve">An </w:t>
            </w:r>
            <w:r w:rsidR="00A84DF9" w:rsidRPr="00A84DF9">
              <w:rPr>
                <w:b w:val="0"/>
                <w:bCs/>
                <w:sz w:val="24"/>
                <w:szCs w:val="24"/>
                <w:lang w:val="en-GB"/>
              </w:rPr>
              <w:t xml:space="preserve">eligible </w:t>
            </w:r>
            <w:r w:rsidRPr="00A84DF9">
              <w:rPr>
                <w:b w:val="0"/>
                <w:bCs/>
                <w:sz w:val="24"/>
                <w:szCs w:val="24"/>
                <w:lang w:val="en-GB"/>
              </w:rPr>
              <w:t>student</w:t>
            </w:r>
          </w:p>
        </w:tc>
        <w:tc>
          <w:tcPr>
            <w:tcW w:w="2552" w:type="dxa"/>
          </w:tcPr>
          <w:p w:rsidR="004B467C" w:rsidRPr="00A84DF9" w:rsidRDefault="004B467C" w:rsidP="004B467C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52 weeks</w:t>
            </w:r>
          </w:p>
        </w:tc>
        <w:tc>
          <w:tcPr>
            <w:tcW w:w="2835" w:type="dxa"/>
          </w:tcPr>
          <w:p w:rsidR="004B467C" w:rsidRPr="00A84DF9" w:rsidRDefault="004B467C" w:rsidP="004B467C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4 weeks</w:t>
            </w:r>
          </w:p>
        </w:tc>
      </w:tr>
      <w:tr w:rsidR="003247A1" w:rsidRPr="00A84DF9" w:rsidTr="00E070A8">
        <w:tc>
          <w:tcPr>
            <w:tcW w:w="5104" w:type="dxa"/>
          </w:tcPr>
          <w:p w:rsidR="003247A1" w:rsidRPr="00A84DF9" w:rsidRDefault="003247A1" w:rsidP="003247A1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A person who is receiving care in residential accommodation and is not staying on a trial basis to ascertain if the accommodation suits his needs</w:t>
            </w:r>
          </w:p>
        </w:tc>
        <w:tc>
          <w:tcPr>
            <w:tcW w:w="2552" w:type="dxa"/>
          </w:tcPr>
          <w:p w:rsidR="003247A1" w:rsidRPr="00A84DF9" w:rsidRDefault="003247A1" w:rsidP="003247A1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52 weeks</w:t>
            </w:r>
          </w:p>
        </w:tc>
        <w:tc>
          <w:tcPr>
            <w:tcW w:w="2835" w:type="dxa"/>
          </w:tcPr>
          <w:p w:rsidR="003247A1" w:rsidRPr="00A84DF9" w:rsidRDefault="003247A1" w:rsidP="003247A1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4 weeks</w:t>
            </w:r>
          </w:p>
        </w:tc>
      </w:tr>
      <w:tr w:rsidR="003247A1" w:rsidRPr="00A84DF9" w:rsidTr="00E070A8">
        <w:tc>
          <w:tcPr>
            <w:tcW w:w="5104" w:type="dxa"/>
          </w:tcPr>
          <w:p w:rsidR="003247A1" w:rsidRPr="00A84DF9" w:rsidRDefault="003247A1" w:rsidP="003247A1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A person who has left their home through fear of violence</w:t>
            </w:r>
          </w:p>
        </w:tc>
        <w:tc>
          <w:tcPr>
            <w:tcW w:w="2552" w:type="dxa"/>
          </w:tcPr>
          <w:p w:rsidR="003247A1" w:rsidRPr="00A84DF9" w:rsidRDefault="003247A1" w:rsidP="003247A1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52 weeks</w:t>
            </w:r>
          </w:p>
        </w:tc>
        <w:tc>
          <w:tcPr>
            <w:tcW w:w="2835" w:type="dxa"/>
          </w:tcPr>
          <w:p w:rsidR="003247A1" w:rsidRPr="00A84DF9" w:rsidRDefault="003247A1" w:rsidP="003247A1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26 weeks</w:t>
            </w:r>
          </w:p>
        </w:tc>
      </w:tr>
      <w:tr w:rsidR="006C29FC" w:rsidRPr="00A84DF9" w:rsidTr="00E070A8">
        <w:tc>
          <w:tcPr>
            <w:tcW w:w="5104" w:type="dxa"/>
          </w:tcPr>
          <w:p w:rsidR="006C29FC" w:rsidRDefault="006C29FC" w:rsidP="00A02993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A person who enters residential accommodation on a trial basis to ascertain</w:t>
            </w:r>
            <w:r w:rsidR="00F656B9">
              <w:rPr>
                <w:b w:val="0"/>
                <w:bCs/>
                <w:sz w:val="24"/>
                <w:szCs w:val="24"/>
                <w:lang w:val="en-GB"/>
              </w:rPr>
              <w:t xml:space="preserve"> if</w:t>
            </w:r>
            <w:r>
              <w:rPr>
                <w:b w:val="0"/>
                <w:bCs/>
                <w:sz w:val="24"/>
                <w:szCs w:val="24"/>
                <w:lang w:val="en-GB"/>
              </w:rPr>
              <w:t xml:space="preserve"> it meets their needs with the intention of returning home</w:t>
            </w:r>
          </w:p>
        </w:tc>
        <w:tc>
          <w:tcPr>
            <w:tcW w:w="2552" w:type="dxa"/>
          </w:tcPr>
          <w:p w:rsidR="006C29FC" w:rsidRPr="00A84DF9" w:rsidRDefault="006C29FC" w:rsidP="003247A1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52 weeks</w:t>
            </w:r>
          </w:p>
        </w:tc>
        <w:tc>
          <w:tcPr>
            <w:tcW w:w="2835" w:type="dxa"/>
          </w:tcPr>
          <w:p w:rsidR="006C29FC" w:rsidRPr="00A84DF9" w:rsidRDefault="0020373B" w:rsidP="0020373B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4 weeks</w:t>
            </w:r>
          </w:p>
        </w:tc>
      </w:tr>
    </w:tbl>
    <w:p w:rsidR="002927C3" w:rsidRDefault="002927C3">
      <w:r>
        <w:rPr>
          <w:b/>
        </w:rPr>
        <w:br w:type="page"/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5104"/>
        <w:gridCol w:w="2552"/>
        <w:gridCol w:w="2835"/>
      </w:tblGrid>
      <w:tr w:rsidR="003660DE" w:rsidRPr="00A84DF9" w:rsidTr="002927C3">
        <w:trPr>
          <w:cantSplit/>
        </w:trPr>
        <w:tc>
          <w:tcPr>
            <w:tcW w:w="5104" w:type="dxa"/>
          </w:tcPr>
          <w:p w:rsidR="003660DE" w:rsidRPr="00A84DF9" w:rsidRDefault="003660DE" w:rsidP="00352012">
            <w:pPr>
              <w:pStyle w:val="Sectionhead"/>
              <w:spacing w:before="100" w:beforeAutospacing="1" w:after="100" w:afterAutospacing="1" w:line="240" w:lineRule="atLeast"/>
              <w:rPr>
                <w:bCs/>
                <w:sz w:val="24"/>
                <w:szCs w:val="24"/>
                <w:lang w:val="en-GB"/>
              </w:rPr>
            </w:pPr>
            <w:r w:rsidRPr="00A84DF9">
              <w:rPr>
                <w:bCs/>
                <w:sz w:val="24"/>
                <w:szCs w:val="24"/>
                <w:lang w:val="en-GB"/>
              </w:rPr>
              <w:lastRenderedPageBreak/>
              <w:t>Circumstances of absence</w:t>
            </w:r>
          </w:p>
        </w:tc>
        <w:tc>
          <w:tcPr>
            <w:tcW w:w="2552" w:type="dxa"/>
          </w:tcPr>
          <w:p w:rsidR="003660DE" w:rsidRPr="00A84DF9" w:rsidRDefault="003660DE" w:rsidP="00352012">
            <w:pPr>
              <w:pStyle w:val="Sectionhead"/>
              <w:spacing w:before="100" w:beforeAutospacing="1" w:after="100" w:afterAutospacing="1" w:line="240" w:lineRule="atLeast"/>
              <w:rPr>
                <w:bCs/>
                <w:sz w:val="24"/>
                <w:szCs w:val="24"/>
                <w:lang w:val="en-GB"/>
              </w:rPr>
            </w:pPr>
            <w:r w:rsidRPr="00A84DF9">
              <w:rPr>
                <w:bCs/>
                <w:sz w:val="24"/>
                <w:szCs w:val="24"/>
                <w:lang w:val="en-GB"/>
              </w:rPr>
              <w:t>Within Great Britain</w:t>
            </w:r>
          </w:p>
        </w:tc>
        <w:tc>
          <w:tcPr>
            <w:tcW w:w="2835" w:type="dxa"/>
          </w:tcPr>
          <w:p w:rsidR="003660DE" w:rsidRPr="00A84DF9" w:rsidRDefault="003660DE" w:rsidP="00352012">
            <w:pPr>
              <w:pStyle w:val="Sectionhead"/>
              <w:spacing w:before="100" w:beforeAutospacing="1" w:after="100" w:afterAutospacing="1" w:line="240" w:lineRule="atLeast"/>
              <w:rPr>
                <w:bCs/>
                <w:sz w:val="24"/>
                <w:szCs w:val="24"/>
                <w:lang w:val="en-GB"/>
              </w:rPr>
            </w:pPr>
            <w:r w:rsidRPr="00A84DF9">
              <w:rPr>
                <w:bCs/>
                <w:sz w:val="24"/>
                <w:szCs w:val="24"/>
                <w:lang w:val="en-GB"/>
              </w:rPr>
              <w:t>Outside of Great Britain</w:t>
            </w:r>
          </w:p>
        </w:tc>
      </w:tr>
      <w:tr w:rsidR="003660DE" w:rsidRPr="00A84DF9" w:rsidTr="00E070A8">
        <w:tc>
          <w:tcPr>
            <w:tcW w:w="5104" w:type="dxa"/>
          </w:tcPr>
          <w:p w:rsidR="003660DE" w:rsidRDefault="003660DE" w:rsidP="00B032ED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A person who is absent from GB in connection with the death of their partner or a child for whom he or his partner is responsible</w:t>
            </w:r>
            <w:r>
              <w:rPr>
                <w:b w:val="0"/>
                <w:bCs/>
                <w:sz w:val="24"/>
                <w:szCs w:val="24"/>
                <w:lang w:val="en-GB"/>
              </w:rPr>
              <w:t xml:space="preserve">, the persons close relative, a close relative of the persons partner or a close relative of a child or young person </w:t>
            </w:r>
            <w:r w:rsidR="0021470B" w:rsidRPr="00B032ED">
              <w:rPr>
                <w:b w:val="0"/>
                <w:bCs/>
                <w:sz w:val="24"/>
                <w:szCs w:val="24"/>
                <w:lang w:val="en-GB"/>
              </w:rPr>
              <w:t>for</w:t>
            </w:r>
            <w:r>
              <w:rPr>
                <w:b w:val="0"/>
                <w:bCs/>
                <w:sz w:val="24"/>
                <w:szCs w:val="24"/>
                <w:lang w:val="en-GB"/>
              </w:rPr>
              <w:t xml:space="preserve"> whom the person or persons partner is responsible</w:t>
            </w:r>
          </w:p>
          <w:p w:rsidR="002927C3" w:rsidRPr="00A84DF9" w:rsidRDefault="002927C3" w:rsidP="00B032ED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:rsidR="003660DE" w:rsidRPr="00A84DF9" w:rsidRDefault="0020373B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13 weeks</w:t>
            </w:r>
          </w:p>
        </w:tc>
        <w:tc>
          <w:tcPr>
            <w:tcW w:w="2835" w:type="dxa"/>
          </w:tcPr>
          <w:p w:rsidR="003660DE" w:rsidRPr="00A84DF9" w:rsidRDefault="003660DE" w:rsidP="003247A1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 xml:space="preserve">4 weeks plus additional 4 weeks if the Decision Maker considers it unreasonable for </w:t>
            </w:r>
            <w:r w:rsidR="0020373B">
              <w:rPr>
                <w:b w:val="0"/>
                <w:bCs/>
                <w:sz w:val="24"/>
                <w:szCs w:val="24"/>
                <w:lang w:val="en-GB"/>
              </w:rPr>
              <w:t xml:space="preserve">the claimant to </w:t>
            </w:r>
            <w:r w:rsidRPr="00A84DF9">
              <w:rPr>
                <w:b w:val="0"/>
                <w:bCs/>
                <w:sz w:val="24"/>
                <w:szCs w:val="24"/>
                <w:lang w:val="en-GB"/>
              </w:rPr>
              <w:t>return home within the first 4 weeks</w:t>
            </w:r>
          </w:p>
        </w:tc>
      </w:tr>
      <w:tr w:rsidR="003660DE" w:rsidRPr="00A84DF9" w:rsidTr="00E070A8">
        <w:tc>
          <w:tcPr>
            <w:tcW w:w="5104" w:type="dxa"/>
          </w:tcPr>
          <w:p w:rsidR="003660DE" w:rsidRDefault="003660DE" w:rsidP="00B032ED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A member of Her M</w:t>
            </w:r>
            <w:r w:rsidR="002927C3">
              <w:rPr>
                <w:b w:val="0"/>
                <w:bCs/>
                <w:sz w:val="24"/>
                <w:szCs w:val="24"/>
                <w:lang w:val="en-GB"/>
              </w:rPr>
              <w:t>ajesty’s forces posted overseas</w:t>
            </w:r>
          </w:p>
          <w:p w:rsidR="002927C3" w:rsidRPr="0021470B" w:rsidRDefault="002927C3" w:rsidP="00B032ED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:rsidR="003660DE" w:rsidRPr="00A84DF9" w:rsidRDefault="0020373B" w:rsidP="004B467C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13 weeks</w:t>
            </w:r>
          </w:p>
        </w:tc>
        <w:tc>
          <w:tcPr>
            <w:tcW w:w="2835" w:type="dxa"/>
          </w:tcPr>
          <w:p w:rsidR="003660DE" w:rsidRPr="00A84DF9" w:rsidRDefault="003660DE" w:rsidP="004B467C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26 weeks</w:t>
            </w:r>
          </w:p>
        </w:tc>
      </w:tr>
      <w:tr w:rsidR="0020373B" w:rsidRPr="00A84DF9" w:rsidTr="00E070A8">
        <w:tc>
          <w:tcPr>
            <w:tcW w:w="5104" w:type="dxa"/>
          </w:tcPr>
          <w:p w:rsidR="0020373B" w:rsidRDefault="0020373B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A</w:t>
            </w:r>
            <w:r w:rsidRPr="00A84DF9">
              <w:rPr>
                <w:b w:val="0"/>
                <w:bCs/>
                <w:sz w:val="24"/>
                <w:szCs w:val="24"/>
                <w:lang w:val="en-GB"/>
              </w:rPr>
              <w:t xml:space="preserve"> mariner</w:t>
            </w:r>
          </w:p>
          <w:p w:rsidR="002927C3" w:rsidRPr="00A84DF9" w:rsidRDefault="002927C3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:rsidR="0020373B" w:rsidRPr="00A84DF9" w:rsidRDefault="0020373B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13 weeks</w:t>
            </w:r>
          </w:p>
        </w:tc>
        <w:tc>
          <w:tcPr>
            <w:tcW w:w="2835" w:type="dxa"/>
          </w:tcPr>
          <w:p w:rsidR="0020373B" w:rsidRPr="00A84DF9" w:rsidRDefault="0020373B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26 weeks</w:t>
            </w:r>
          </w:p>
        </w:tc>
      </w:tr>
      <w:tr w:rsidR="0020373B" w:rsidRPr="00A84DF9" w:rsidTr="00E070A8">
        <w:tc>
          <w:tcPr>
            <w:tcW w:w="5104" w:type="dxa"/>
          </w:tcPr>
          <w:p w:rsidR="0020373B" w:rsidRDefault="0020373B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B032ED">
              <w:rPr>
                <w:b w:val="0"/>
                <w:bCs/>
                <w:sz w:val="24"/>
                <w:szCs w:val="24"/>
                <w:lang w:val="en-GB"/>
              </w:rPr>
              <w:t>Continental shelf worker</w:t>
            </w:r>
            <w:r>
              <w:rPr>
                <w:b w:val="0"/>
                <w:bCs/>
                <w:sz w:val="24"/>
                <w:szCs w:val="24"/>
                <w:lang w:val="en-GB"/>
              </w:rPr>
              <w:t xml:space="preserve"> </w:t>
            </w:r>
          </w:p>
          <w:p w:rsidR="002927C3" w:rsidRPr="00A84DF9" w:rsidRDefault="002927C3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:rsidR="0020373B" w:rsidRPr="00A84DF9" w:rsidRDefault="0020373B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13 weeks</w:t>
            </w:r>
          </w:p>
        </w:tc>
        <w:tc>
          <w:tcPr>
            <w:tcW w:w="2835" w:type="dxa"/>
          </w:tcPr>
          <w:p w:rsidR="0020373B" w:rsidRPr="00A84DF9" w:rsidRDefault="0020373B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>
              <w:rPr>
                <w:b w:val="0"/>
                <w:bCs/>
                <w:sz w:val="24"/>
                <w:szCs w:val="24"/>
                <w:lang w:val="en-GB"/>
              </w:rPr>
              <w:t>26 weeks</w:t>
            </w:r>
          </w:p>
        </w:tc>
      </w:tr>
      <w:tr w:rsidR="003660DE" w:rsidRPr="00A84DF9" w:rsidTr="00E070A8">
        <w:tc>
          <w:tcPr>
            <w:tcW w:w="5104" w:type="dxa"/>
          </w:tcPr>
          <w:p w:rsidR="003660DE" w:rsidRDefault="003660DE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Any other temporary absence</w:t>
            </w:r>
            <w:r w:rsidR="003945C3">
              <w:rPr>
                <w:b w:val="0"/>
                <w:bCs/>
                <w:sz w:val="24"/>
                <w:szCs w:val="24"/>
                <w:lang w:val="en-GB"/>
              </w:rPr>
              <w:t xml:space="preserve"> e.g. holiday </w:t>
            </w:r>
          </w:p>
          <w:p w:rsidR="002927C3" w:rsidRPr="00A84DF9" w:rsidRDefault="002927C3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:rsidR="003660DE" w:rsidRPr="00A84DF9" w:rsidRDefault="003660DE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13 weeks</w:t>
            </w:r>
          </w:p>
        </w:tc>
        <w:tc>
          <w:tcPr>
            <w:tcW w:w="2835" w:type="dxa"/>
          </w:tcPr>
          <w:p w:rsidR="003660DE" w:rsidRPr="00A84DF9" w:rsidRDefault="003660DE" w:rsidP="0004003F">
            <w:pPr>
              <w:pStyle w:val="Sectionhead"/>
              <w:spacing w:before="100" w:beforeAutospacing="1" w:after="100" w:afterAutospacing="1" w:line="240" w:lineRule="atLeast"/>
              <w:rPr>
                <w:b w:val="0"/>
                <w:bCs/>
                <w:sz w:val="24"/>
                <w:szCs w:val="24"/>
                <w:lang w:val="en-GB"/>
              </w:rPr>
            </w:pPr>
            <w:r w:rsidRPr="00A84DF9">
              <w:rPr>
                <w:b w:val="0"/>
                <w:bCs/>
                <w:sz w:val="24"/>
                <w:szCs w:val="24"/>
                <w:lang w:val="en-GB"/>
              </w:rPr>
              <w:t>4 weeks</w:t>
            </w:r>
          </w:p>
        </w:tc>
      </w:tr>
    </w:tbl>
    <w:p w:rsidR="0004003F" w:rsidRPr="00A84DF9" w:rsidRDefault="0004003F" w:rsidP="0004003F">
      <w:pPr>
        <w:pStyle w:val="Sectionhead"/>
        <w:spacing w:before="100" w:beforeAutospacing="1" w:after="100" w:afterAutospacing="1" w:line="240" w:lineRule="atLeast"/>
        <w:rPr>
          <w:b w:val="0"/>
          <w:bCs/>
          <w:sz w:val="24"/>
          <w:szCs w:val="24"/>
          <w:lang w:val="en-GB"/>
        </w:rPr>
      </w:pPr>
    </w:p>
    <w:sectPr w:rsidR="0004003F" w:rsidRPr="00A84DF9" w:rsidSect="009475E9">
      <w:headerReference w:type="default" r:id="rId9"/>
      <w:pgSz w:w="11909" w:h="16834" w:code="9"/>
      <w:pgMar w:top="1440" w:right="1134" w:bottom="1134" w:left="1797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C2" w:rsidRDefault="00AB7CC2" w:rsidP="005D08A8">
      <w:pPr>
        <w:pStyle w:val="Sub10"/>
      </w:pPr>
      <w:r>
        <w:separator/>
      </w:r>
    </w:p>
  </w:endnote>
  <w:endnote w:type="continuationSeparator" w:id="0">
    <w:p w:rsidR="00AB7CC2" w:rsidRDefault="00AB7CC2" w:rsidP="005D08A8">
      <w:pPr>
        <w:pStyle w:val="Sub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C2" w:rsidRDefault="00AB7CC2" w:rsidP="005D08A8">
      <w:pPr>
        <w:pStyle w:val="Sub10"/>
      </w:pPr>
      <w:r>
        <w:separator/>
      </w:r>
    </w:p>
  </w:footnote>
  <w:footnote w:type="continuationSeparator" w:id="0">
    <w:p w:rsidR="00AB7CC2" w:rsidRDefault="00AB7CC2" w:rsidP="005D08A8">
      <w:pPr>
        <w:pStyle w:val="Sub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06" w:rsidRDefault="00C81406" w:rsidP="00C63F53">
    <w:pPr>
      <w:pStyle w:val="Header"/>
      <w:pBdr>
        <w:bottom w:val="single" w:sz="4" w:space="1" w:color="auto"/>
      </w:pBdr>
      <w:jc w:val="right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HB Circular A</w:t>
    </w:r>
    <w:r w:rsidR="00A1628F">
      <w:rPr>
        <w:rFonts w:ascii="Arial" w:hAnsi="Arial"/>
        <w:b/>
        <w:sz w:val="22"/>
      </w:rPr>
      <w:t>7</w:t>
    </w:r>
    <w:r>
      <w:rPr>
        <w:rFonts w:ascii="Arial" w:hAnsi="Arial"/>
        <w:b/>
        <w:sz w:val="22"/>
      </w:rPr>
      <w:t>/2016</w:t>
    </w:r>
  </w:p>
  <w:p w:rsidR="00C81406" w:rsidRPr="009475E9" w:rsidRDefault="00C81406" w:rsidP="00C63F53">
    <w:pPr>
      <w:pStyle w:val="Header"/>
      <w:rPr>
        <w:rFonts w:ascii="Arial" w:hAnsi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BAA"/>
    <w:multiLevelType w:val="hybridMultilevel"/>
    <w:tmpl w:val="6BF4D37C"/>
    <w:lvl w:ilvl="0" w:tplc="B050A2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80245C"/>
    <w:multiLevelType w:val="singleLevel"/>
    <w:tmpl w:val="EE5E53A2"/>
    <w:lvl w:ilvl="0">
      <w:start w:val="1"/>
      <w:numFmt w:val="bullet"/>
      <w:pStyle w:val="su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0DFE0DD7"/>
    <w:multiLevelType w:val="hybridMultilevel"/>
    <w:tmpl w:val="3502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2A3"/>
    <w:multiLevelType w:val="hybridMultilevel"/>
    <w:tmpl w:val="3DA2CAAE"/>
    <w:lvl w:ilvl="0" w:tplc="EECCC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02B1F"/>
    <w:multiLevelType w:val="hybridMultilevel"/>
    <w:tmpl w:val="9ED4933C"/>
    <w:lvl w:ilvl="0" w:tplc="F2C62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>
    <w:nsid w:val="251B26C5"/>
    <w:multiLevelType w:val="hybridMultilevel"/>
    <w:tmpl w:val="2D683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92255"/>
    <w:multiLevelType w:val="hybridMultilevel"/>
    <w:tmpl w:val="8C2A9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EE6250"/>
    <w:multiLevelType w:val="singleLevel"/>
    <w:tmpl w:val="6F520A2C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7108FB"/>
    <w:multiLevelType w:val="hybridMultilevel"/>
    <w:tmpl w:val="82B0045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31525256"/>
    <w:multiLevelType w:val="hybridMultilevel"/>
    <w:tmpl w:val="D99E0222"/>
    <w:lvl w:ilvl="0" w:tplc="EECCC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D47A1"/>
    <w:multiLevelType w:val="singleLevel"/>
    <w:tmpl w:val="A16C1E8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1">
    <w:nsid w:val="335573A9"/>
    <w:multiLevelType w:val="hybridMultilevel"/>
    <w:tmpl w:val="E74864A6"/>
    <w:lvl w:ilvl="0" w:tplc="B050A2B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3A59272A"/>
    <w:multiLevelType w:val="hybridMultilevel"/>
    <w:tmpl w:val="814CD5E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3D1872C2"/>
    <w:multiLevelType w:val="hybridMultilevel"/>
    <w:tmpl w:val="B8C2816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44FF4"/>
    <w:multiLevelType w:val="hybridMultilevel"/>
    <w:tmpl w:val="395AB404"/>
    <w:lvl w:ilvl="0" w:tplc="360E11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E21C4A"/>
    <w:multiLevelType w:val="hybridMultilevel"/>
    <w:tmpl w:val="E0084EE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A862B56"/>
    <w:multiLevelType w:val="hybridMultilevel"/>
    <w:tmpl w:val="71623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06AA5"/>
    <w:multiLevelType w:val="hybridMultilevel"/>
    <w:tmpl w:val="F0741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A4519B"/>
    <w:multiLevelType w:val="multilevel"/>
    <w:tmpl w:val="0A18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72C7940"/>
    <w:multiLevelType w:val="multilevel"/>
    <w:tmpl w:val="EDF0B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9A7548"/>
    <w:multiLevelType w:val="hybridMultilevel"/>
    <w:tmpl w:val="670CBF74"/>
    <w:lvl w:ilvl="0" w:tplc="2716E502">
      <w:start w:val="1"/>
      <w:numFmt w:val="bullet"/>
      <w:lvlRestart w:val="0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EECCC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8C294F"/>
    <w:multiLevelType w:val="hybridMultilevel"/>
    <w:tmpl w:val="EDF0B55E"/>
    <w:lvl w:ilvl="0" w:tplc="142A06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41112B"/>
    <w:multiLevelType w:val="singleLevel"/>
    <w:tmpl w:val="ED044378"/>
    <w:lvl w:ilvl="0">
      <w:start w:val="1"/>
      <w:numFmt w:val="decimal"/>
      <w:pStyle w:val="ReportBody4"/>
      <w:lvlText w:val="4.%1  "/>
      <w:lvlJc w:val="left"/>
      <w:pPr>
        <w:tabs>
          <w:tab w:val="num" w:pos="720"/>
        </w:tabs>
        <w:ind w:left="0" w:firstLine="0"/>
      </w:pPr>
      <w:rPr>
        <w:rFonts w:ascii="CG Omega" w:hAnsi="CG Omega" w:hint="default"/>
        <w:b/>
        <w:sz w:val="21"/>
      </w:rPr>
    </w:lvl>
  </w:abstractNum>
  <w:abstractNum w:abstractNumId="23">
    <w:nsid w:val="675C0A9E"/>
    <w:multiLevelType w:val="multilevel"/>
    <w:tmpl w:val="2AC2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4">
    <w:nsid w:val="683C004E"/>
    <w:multiLevelType w:val="multilevel"/>
    <w:tmpl w:val="2AC2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5">
    <w:nsid w:val="696523DA"/>
    <w:multiLevelType w:val="hybridMultilevel"/>
    <w:tmpl w:val="1E609502"/>
    <w:lvl w:ilvl="0" w:tplc="EBFCD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20491"/>
    <w:multiLevelType w:val="hybridMultilevel"/>
    <w:tmpl w:val="AF2CA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C7B4D"/>
    <w:multiLevelType w:val="hybridMultilevel"/>
    <w:tmpl w:val="3E00D7AA"/>
    <w:lvl w:ilvl="0" w:tplc="3C643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B7145A"/>
    <w:multiLevelType w:val="multilevel"/>
    <w:tmpl w:val="0A18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81E6C16"/>
    <w:multiLevelType w:val="hybridMultilevel"/>
    <w:tmpl w:val="9DC63692"/>
    <w:lvl w:ilvl="0" w:tplc="B050A2B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>
    <w:nsid w:val="7A87715F"/>
    <w:multiLevelType w:val="hybridMultilevel"/>
    <w:tmpl w:val="5880A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0E7497"/>
    <w:multiLevelType w:val="multilevel"/>
    <w:tmpl w:val="2508FBD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222F24"/>
    <w:multiLevelType w:val="hybridMultilevel"/>
    <w:tmpl w:val="E2CE8100"/>
    <w:lvl w:ilvl="0" w:tplc="B050A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0"/>
  </w:num>
  <w:num w:numId="5">
    <w:abstractNumId w:val="29"/>
  </w:num>
  <w:num w:numId="6">
    <w:abstractNumId w:val="13"/>
  </w:num>
  <w:num w:numId="7">
    <w:abstractNumId w:val="21"/>
  </w:num>
  <w:num w:numId="8">
    <w:abstractNumId w:val="18"/>
  </w:num>
  <w:num w:numId="9">
    <w:abstractNumId w:val="27"/>
  </w:num>
  <w:num w:numId="10">
    <w:abstractNumId w:val="31"/>
  </w:num>
  <w:num w:numId="11">
    <w:abstractNumId w:val="4"/>
  </w:num>
  <w:num w:numId="12">
    <w:abstractNumId w:val="28"/>
  </w:num>
  <w:num w:numId="13">
    <w:abstractNumId w:val="14"/>
  </w:num>
  <w:num w:numId="14">
    <w:abstractNumId w:val="19"/>
  </w:num>
  <w:num w:numId="15">
    <w:abstractNumId w:val="20"/>
  </w:num>
  <w:num w:numId="16">
    <w:abstractNumId w:val="24"/>
  </w:num>
  <w:num w:numId="17">
    <w:abstractNumId w:val="25"/>
  </w:num>
  <w:num w:numId="18">
    <w:abstractNumId w:val="23"/>
  </w:num>
  <w:num w:numId="19">
    <w:abstractNumId w:val="6"/>
  </w:num>
  <w:num w:numId="20">
    <w:abstractNumId w:val="3"/>
  </w:num>
  <w:num w:numId="21">
    <w:abstractNumId w:val="2"/>
  </w:num>
  <w:num w:numId="22">
    <w:abstractNumId w:val="26"/>
  </w:num>
  <w:num w:numId="23">
    <w:abstractNumId w:val="9"/>
  </w:num>
  <w:num w:numId="24">
    <w:abstractNumId w:val="17"/>
  </w:num>
  <w:num w:numId="25">
    <w:abstractNumId w:val="32"/>
  </w:num>
  <w:num w:numId="26">
    <w:abstractNumId w:val="0"/>
  </w:num>
  <w:num w:numId="27">
    <w:abstractNumId w:val="12"/>
  </w:num>
  <w:num w:numId="28">
    <w:abstractNumId w:val="11"/>
  </w:num>
  <w:num w:numId="29">
    <w:abstractNumId w:val="15"/>
  </w:num>
  <w:num w:numId="30">
    <w:abstractNumId w:val="8"/>
  </w:num>
  <w:num w:numId="31">
    <w:abstractNumId w:val="5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02"/>
    <w:rsid w:val="0000241F"/>
    <w:rsid w:val="00003C41"/>
    <w:rsid w:val="00003CB5"/>
    <w:rsid w:val="00007C5D"/>
    <w:rsid w:val="00007F1A"/>
    <w:rsid w:val="00022B58"/>
    <w:rsid w:val="0004003F"/>
    <w:rsid w:val="00057B80"/>
    <w:rsid w:val="00060B76"/>
    <w:rsid w:val="000A1CFB"/>
    <w:rsid w:val="000E5208"/>
    <w:rsid w:val="000E6D16"/>
    <w:rsid w:val="000E6EA1"/>
    <w:rsid w:val="000F6D61"/>
    <w:rsid w:val="000F7920"/>
    <w:rsid w:val="00100B5C"/>
    <w:rsid w:val="00100EA4"/>
    <w:rsid w:val="00105318"/>
    <w:rsid w:val="00110A10"/>
    <w:rsid w:val="0013093E"/>
    <w:rsid w:val="00132C37"/>
    <w:rsid w:val="00133F97"/>
    <w:rsid w:val="001342D2"/>
    <w:rsid w:val="00190DBF"/>
    <w:rsid w:val="001B565E"/>
    <w:rsid w:val="001C0A0D"/>
    <w:rsid w:val="001E2220"/>
    <w:rsid w:val="001F4ECF"/>
    <w:rsid w:val="0020373B"/>
    <w:rsid w:val="00207C0F"/>
    <w:rsid w:val="00210071"/>
    <w:rsid w:val="0021470B"/>
    <w:rsid w:val="00215220"/>
    <w:rsid w:val="00220221"/>
    <w:rsid w:val="00242F69"/>
    <w:rsid w:val="00250BF2"/>
    <w:rsid w:val="00286ACE"/>
    <w:rsid w:val="002927C3"/>
    <w:rsid w:val="002A24E3"/>
    <w:rsid w:val="002C5A2C"/>
    <w:rsid w:val="002E39D2"/>
    <w:rsid w:val="002F01D4"/>
    <w:rsid w:val="003247A1"/>
    <w:rsid w:val="00330776"/>
    <w:rsid w:val="00331D6A"/>
    <w:rsid w:val="003361AA"/>
    <w:rsid w:val="00352012"/>
    <w:rsid w:val="00354DFB"/>
    <w:rsid w:val="00365735"/>
    <w:rsid w:val="003660DE"/>
    <w:rsid w:val="003764EC"/>
    <w:rsid w:val="003945C3"/>
    <w:rsid w:val="003A41E8"/>
    <w:rsid w:val="003B407F"/>
    <w:rsid w:val="003B62F4"/>
    <w:rsid w:val="00413DA3"/>
    <w:rsid w:val="00427981"/>
    <w:rsid w:val="004307F7"/>
    <w:rsid w:val="00437630"/>
    <w:rsid w:val="00464058"/>
    <w:rsid w:val="00464192"/>
    <w:rsid w:val="00471133"/>
    <w:rsid w:val="00476E01"/>
    <w:rsid w:val="00486FD9"/>
    <w:rsid w:val="00497D9A"/>
    <w:rsid w:val="004A266C"/>
    <w:rsid w:val="004A26A7"/>
    <w:rsid w:val="004A4DC4"/>
    <w:rsid w:val="004A4EB3"/>
    <w:rsid w:val="004B168C"/>
    <w:rsid w:val="004B467C"/>
    <w:rsid w:val="004C1098"/>
    <w:rsid w:val="004D4762"/>
    <w:rsid w:val="004D7173"/>
    <w:rsid w:val="004F5330"/>
    <w:rsid w:val="00502702"/>
    <w:rsid w:val="005058EF"/>
    <w:rsid w:val="00506E1C"/>
    <w:rsid w:val="00506F79"/>
    <w:rsid w:val="00511CBB"/>
    <w:rsid w:val="00516C55"/>
    <w:rsid w:val="00531BDD"/>
    <w:rsid w:val="00531DB9"/>
    <w:rsid w:val="00537968"/>
    <w:rsid w:val="00543DD7"/>
    <w:rsid w:val="005729F0"/>
    <w:rsid w:val="00581951"/>
    <w:rsid w:val="00584D8C"/>
    <w:rsid w:val="005A6BC5"/>
    <w:rsid w:val="005B0480"/>
    <w:rsid w:val="005D08A8"/>
    <w:rsid w:val="005E6AB5"/>
    <w:rsid w:val="005F32F5"/>
    <w:rsid w:val="00610203"/>
    <w:rsid w:val="006221AD"/>
    <w:rsid w:val="00622556"/>
    <w:rsid w:val="00645D14"/>
    <w:rsid w:val="0065448E"/>
    <w:rsid w:val="00693A3B"/>
    <w:rsid w:val="00696AD0"/>
    <w:rsid w:val="006A23EF"/>
    <w:rsid w:val="006B7608"/>
    <w:rsid w:val="006C29FC"/>
    <w:rsid w:val="006E5F7B"/>
    <w:rsid w:val="00701514"/>
    <w:rsid w:val="00726B9D"/>
    <w:rsid w:val="00746E06"/>
    <w:rsid w:val="007532DD"/>
    <w:rsid w:val="007624CF"/>
    <w:rsid w:val="00780FC1"/>
    <w:rsid w:val="0079095D"/>
    <w:rsid w:val="007955D9"/>
    <w:rsid w:val="007D7F89"/>
    <w:rsid w:val="007E39F8"/>
    <w:rsid w:val="007E6112"/>
    <w:rsid w:val="00811DBF"/>
    <w:rsid w:val="008223DE"/>
    <w:rsid w:val="00825CF4"/>
    <w:rsid w:val="008271C0"/>
    <w:rsid w:val="00835636"/>
    <w:rsid w:val="00843BF6"/>
    <w:rsid w:val="0086340F"/>
    <w:rsid w:val="00877CF8"/>
    <w:rsid w:val="008B2DD0"/>
    <w:rsid w:val="008C6A25"/>
    <w:rsid w:val="008D1118"/>
    <w:rsid w:val="008E713D"/>
    <w:rsid w:val="0090249C"/>
    <w:rsid w:val="00912703"/>
    <w:rsid w:val="00926718"/>
    <w:rsid w:val="00926768"/>
    <w:rsid w:val="00946A18"/>
    <w:rsid w:val="009475E9"/>
    <w:rsid w:val="00965994"/>
    <w:rsid w:val="009A74FF"/>
    <w:rsid w:val="009B1668"/>
    <w:rsid w:val="009D4299"/>
    <w:rsid w:val="009E4CA0"/>
    <w:rsid w:val="00A02993"/>
    <w:rsid w:val="00A05EC6"/>
    <w:rsid w:val="00A158E2"/>
    <w:rsid w:val="00A1628F"/>
    <w:rsid w:val="00A162BF"/>
    <w:rsid w:val="00A17952"/>
    <w:rsid w:val="00A33563"/>
    <w:rsid w:val="00A33DD6"/>
    <w:rsid w:val="00A41C49"/>
    <w:rsid w:val="00A47A17"/>
    <w:rsid w:val="00A70980"/>
    <w:rsid w:val="00A83278"/>
    <w:rsid w:val="00A84ACE"/>
    <w:rsid w:val="00A84DF9"/>
    <w:rsid w:val="00AA4190"/>
    <w:rsid w:val="00AB12AE"/>
    <w:rsid w:val="00AB7CC2"/>
    <w:rsid w:val="00AE65D4"/>
    <w:rsid w:val="00AF499B"/>
    <w:rsid w:val="00B032ED"/>
    <w:rsid w:val="00B17528"/>
    <w:rsid w:val="00B21011"/>
    <w:rsid w:val="00B51F91"/>
    <w:rsid w:val="00B54AD4"/>
    <w:rsid w:val="00B637BF"/>
    <w:rsid w:val="00B72EB0"/>
    <w:rsid w:val="00B76EEE"/>
    <w:rsid w:val="00B776E7"/>
    <w:rsid w:val="00B85427"/>
    <w:rsid w:val="00B86E22"/>
    <w:rsid w:val="00B90DAA"/>
    <w:rsid w:val="00BA1369"/>
    <w:rsid w:val="00BC49B2"/>
    <w:rsid w:val="00BD03C0"/>
    <w:rsid w:val="00C0140A"/>
    <w:rsid w:val="00C22F44"/>
    <w:rsid w:val="00C34B3F"/>
    <w:rsid w:val="00C368C7"/>
    <w:rsid w:val="00C53002"/>
    <w:rsid w:val="00C552CF"/>
    <w:rsid w:val="00C55FD8"/>
    <w:rsid w:val="00C63194"/>
    <w:rsid w:val="00C63F53"/>
    <w:rsid w:val="00C8109E"/>
    <w:rsid w:val="00C81406"/>
    <w:rsid w:val="00C81C42"/>
    <w:rsid w:val="00C83DA3"/>
    <w:rsid w:val="00C853F6"/>
    <w:rsid w:val="00CA4295"/>
    <w:rsid w:val="00CA6A01"/>
    <w:rsid w:val="00CA7548"/>
    <w:rsid w:val="00CB573F"/>
    <w:rsid w:val="00CB622D"/>
    <w:rsid w:val="00CD0942"/>
    <w:rsid w:val="00CF313C"/>
    <w:rsid w:val="00CF3517"/>
    <w:rsid w:val="00CF6357"/>
    <w:rsid w:val="00CF7774"/>
    <w:rsid w:val="00D04A6E"/>
    <w:rsid w:val="00D06D09"/>
    <w:rsid w:val="00D17392"/>
    <w:rsid w:val="00D45DB9"/>
    <w:rsid w:val="00D64575"/>
    <w:rsid w:val="00D73BD2"/>
    <w:rsid w:val="00DA66E9"/>
    <w:rsid w:val="00DA67AC"/>
    <w:rsid w:val="00DB535A"/>
    <w:rsid w:val="00DC525A"/>
    <w:rsid w:val="00DD19B2"/>
    <w:rsid w:val="00DF6D86"/>
    <w:rsid w:val="00E070A8"/>
    <w:rsid w:val="00E14382"/>
    <w:rsid w:val="00E14F98"/>
    <w:rsid w:val="00E15EBB"/>
    <w:rsid w:val="00E1717E"/>
    <w:rsid w:val="00E35E2A"/>
    <w:rsid w:val="00E63475"/>
    <w:rsid w:val="00E80CC7"/>
    <w:rsid w:val="00E86546"/>
    <w:rsid w:val="00E90853"/>
    <w:rsid w:val="00EA751E"/>
    <w:rsid w:val="00EB3081"/>
    <w:rsid w:val="00EC044C"/>
    <w:rsid w:val="00ED0EBC"/>
    <w:rsid w:val="00EE138B"/>
    <w:rsid w:val="00EE31AB"/>
    <w:rsid w:val="00F06034"/>
    <w:rsid w:val="00F12CC5"/>
    <w:rsid w:val="00F22F8F"/>
    <w:rsid w:val="00F2661D"/>
    <w:rsid w:val="00F35644"/>
    <w:rsid w:val="00F61023"/>
    <w:rsid w:val="00F62201"/>
    <w:rsid w:val="00F64DE6"/>
    <w:rsid w:val="00F656B9"/>
    <w:rsid w:val="00F72045"/>
    <w:rsid w:val="00F7598A"/>
    <w:rsid w:val="00F8093C"/>
    <w:rsid w:val="00F86277"/>
    <w:rsid w:val="00FC41DC"/>
    <w:rsid w:val="00FC5365"/>
    <w:rsid w:val="00FD4940"/>
    <w:rsid w:val="00FE6D81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(W1)" w:hAnsi="Times New (W1)"/>
      <w:b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(W1)" w:hAnsi="Arial (W1)"/>
      <w:b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G Times" w:hAnsi="CG Times"/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Subsubsecthead">
    <w:name w:val="TOC Subsubsect head"/>
    <w:pPr>
      <w:tabs>
        <w:tab w:val="right" w:leader="dot" w:pos="7370"/>
      </w:tabs>
      <w:spacing w:before="113"/>
      <w:ind w:left="850"/>
    </w:pPr>
    <w:rPr>
      <w:rFonts w:ascii="Arial" w:hAnsi="Arial"/>
      <w:snapToGrid w:val="0"/>
      <w:sz w:val="22"/>
      <w:lang w:eastAsia="en-US"/>
    </w:rPr>
  </w:style>
  <w:style w:type="paragraph" w:customStyle="1" w:styleId="Sub10">
    <w:name w:val="Sub 1"/>
    <w:basedOn w:val="Norm"/>
    <w:pPr>
      <w:spacing w:before="113"/>
      <w:ind w:left="1134" w:hanging="283"/>
    </w:pPr>
  </w:style>
  <w:style w:type="paragraph" w:customStyle="1" w:styleId="Norm">
    <w:name w:val="Norm"/>
    <w:rsid w:val="002A24E3"/>
    <w:pPr>
      <w:tabs>
        <w:tab w:val="left" w:pos="850"/>
      </w:tabs>
      <w:spacing w:before="227" w:line="280" w:lineRule="atLeast"/>
      <w:ind w:left="850" w:hanging="850"/>
    </w:pPr>
    <w:rPr>
      <w:rFonts w:ascii="Arial" w:hAnsi="Arial"/>
      <w:snapToGrid w:val="0"/>
      <w:sz w:val="24"/>
      <w:lang w:val="en-US" w:eastAsia="en-US"/>
    </w:rPr>
  </w:style>
  <w:style w:type="paragraph" w:customStyle="1" w:styleId="subsecthead">
    <w:name w:val="subsect head"/>
    <w:basedOn w:val="Sectionhead"/>
    <w:next w:val="Norm"/>
    <w:pPr>
      <w:tabs>
        <w:tab w:val="clear" w:pos="850"/>
      </w:tabs>
      <w:spacing w:after="57" w:line="240" w:lineRule="auto"/>
    </w:pPr>
    <w:rPr>
      <w:sz w:val="28"/>
      <w:lang w:val="en-GB"/>
    </w:rPr>
  </w:style>
  <w:style w:type="paragraph" w:customStyle="1" w:styleId="Sectionhead">
    <w:name w:val="Section head"/>
    <w:pPr>
      <w:tabs>
        <w:tab w:val="left" w:pos="850"/>
      </w:tabs>
      <w:spacing w:before="283" w:after="170" w:line="360" w:lineRule="atLeast"/>
    </w:pPr>
    <w:rPr>
      <w:rFonts w:ascii="Arial" w:hAnsi="Arial"/>
      <w:b/>
      <w:snapToGrid w:val="0"/>
      <w:sz w:val="32"/>
      <w:lang w:val="en-US" w:eastAsia="en-US"/>
    </w:rPr>
  </w:style>
  <w:style w:type="paragraph" w:customStyle="1" w:styleId="TOCSubsecthead">
    <w:name w:val="TOC Subsect head"/>
    <w:basedOn w:val="TOCSectionhead"/>
    <w:rsid w:val="002A24E3"/>
    <w:pPr>
      <w:tabs>
        <w:tab w:val="right" w:leader="dot" w:pos="7370"/>
      </w:tabs>
      <w:spacing w:before="113"/>
      <w:ind w:left="567"/>
    </w:pPr>
    <w:rPr>
      <w:b w:val="0"/>
      <w:color w:val="auto"/>
    </w:rPr>
  </w:style>
  <w:style w:type="paragraph" w:customStyle="1" w:styleId="TOCSectionhead">
    <w:name w:val="TOC Section head"/>
    <w:rsid w:val="002A24E3"/>
    <w:pPr>
      <w:tabs>
        <w:tab w:val="right" w:pos="7370"/>
      </w:tabs>
      <w:spacing w:before="283" w:line="280" w:lineRule="atLeast"/>
    </w:pPr>
    <w:rPr>
      <w:rFonts w:ascii="Arial" w:hAnsi="Arial"/>
      <w:b/>
      <w:snapToGrid w:val="0"/>
      <w:color w:val="000000"/>
      <w:sz w:val="24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ubsubsecthead">
    <w:name w:val="subsubsect head"/>
    <w:basedOn w:val="subsecthead"/>
    <w:rPr>
      <w:sz w:val="24"/>
    </w:rPr>
  </w:style>
  <w:style w:type="paragraph" w:customStyle="1" w:styleId="Sub2">
    <w:name w:val="Sub 2"/>
    <w:basedOn w:val="Norm"/>
    <w:pPr>
      <w:tabs>
        <w:tab w:val="clear" w:pos="850"/>
        <w:tab w:val="left" w:pos="1417"/>
        <w:tab w:val="left" w:pos="2835"/>
      </w:tabs>
      <w:spacing w:before="113"/>
      <w:ind w:left="1417" w:hanging="283"/>
    </w:pPr>
  </w:style>
  <w:style w:type="paragraph" w:customStyle="1" w:styleId="subsubsubsecthead">
    <w:name w:val="subsubsubsect head"/>
    <w:basedOn w:val="subsubsecthead"/>
    <w:next w:val="Norm"/>
    <w:pPr>
      <w:spacing w:line="240" w:lineRule="atLeast"/>
    </w:pPr>
    <w:rPr>
      <w:sz w:val="22"/>
    </w:rPr>
  </w:style>
  <w:style w:type="paragraph" w:customStyle="1" w:styleId="Examplerow">
    <w:name w:val="Example row"/>
    <w:basedOn w:val="Norm"/>
    <w:pPr>
      <w:tabs>
        <w:tab w:val="clear" w:pos="850"/>
      </w:tabs>
      <w:spacing w:before="170"/>
      <w:ind w:left="1134" w:right="283" w:firstLine="0"/>
    </w:pPr>
  </w:style>
  <w:style w:type="paragraph" w:customStyle="1" w:styleId="Descriptor">
    <w:name w:val="Descriptor"/>
    <w:basedOn w:val="Normal"/>
    <w:autoRedefine/>
    <w:rPr>
      <w:b/>
      <w:caps/>
      <w:kern w:val="28"/>
      <w:sz w:val="24"/>
    </w:rPr>
  </w:style>
  <w:style w:type="paragraph" w:customStyle="1" w:styleId="InsideAddressName">
    <w:name w:val="Inside Address Name"/>
    <w:basedOn w:val="Normal"/>
    <w:next w:val="Normal"/>
    <w:pPr>
      <w:spacing w:before="220"/>
      <w:ind w:left="835" w:right="-360"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BodyText">
    <w:name w:val="Body Text"/>
    <w:basedOn w:val="Normal"/>
    <w:pPr>
      <w:tabs>
        <w:tab w:val="left" w:pos="567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Bulletlist">
    <w:name w:val="Bullet list"/>
    <w:basedOn w:val="Normal"/>
    <w:pPr>
      <w:numPr>
        <w:numId w:val="1"/>
      </w:numPr>
      <w:spacing w:before="120" w:after="120" w:line="280" w:lineRule="atLeast"/>
      <w:ind w:left="357" w:hanging="357"/>
    </w:pPr>
    <w:rPr>
      <w:rFonts w:ascii="Arial" w:hAnsi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ub1">
    <w:name w:val="sub 1"/>
    <w:basedOn w:val="Norm"/>
    <w:pPr>
      <w:numPr>
        <w:numId w:val="2"/>
      </w:numPr>
      <w:tabs>
        <w:tab w:val="clear" w:pos="850"/>
        <w:tab w:val="left" w:pos="1134"/>
      </w:tabs>
      <w:spacing w:before="102" w:line="260" w:lineRule="atLeast"/>
      <w:ind w:left="1134" w:hanging="283"/>
    </w:pPr>
  </w:style>
  <w:style w:type="paragraph" w:styleId="BodyText2">
    <w:name w:val="Body Text 2"/>
    <w:basedOn w:val="Normal"/>
    <w:pPr>
      <w:suppressAutoHyphens/>
      <w:jc w:val="both"/>
    </w:pPr>
    <w:rPr>
      <w:rFonts w:ascii="Arial" w:hAnsi="Arial"/>
      <w:spacing w:val="-3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raph">
    <w:name w:val="Paragraph"/>
    <w:basedOn w:val="Normal"/>
    <w:autoRedefine/>
    <w:pPr>
      <w:jc w:val="center"/>
    </w:pPr>
    <w:rPr>
      <w:rFonts w:ascii="CG Times" w:hAnsi="CG Times"/>
      <w:b/>
      <w:caps/>
      <w:sz w:val="24"/>
    </w:rPr>
  </w:style>
  <w:style w:type="paragraph" w:customStyle="1" w:styleId="ReportBody4">
    <w:name w:val="Report Body 4"/>
    <w:pPr>
      <w:numPr>
        <w:numId w:val="3"/>
      </w:numPr>
      <w:tabs>
        <w:tab w:val="left" w:pos="425"/>
        <w:tab w:val="left" w:pos="539"/>
        <w:tab w:val="left" w:pos="652"/>
        <w:tab w:val="left" w:pos="765"/>
      </w:tabs>
      <w:suppressAutoHyphens/>
      <w:spacing w:after="120" w:line="290" w:lineRule="exact"/>
    </w:pPr>
    <w:rPr>
      <w:rFonts w:ascii="CG Omega" w:hAnsi="CG Omega"/>
      <w:color w:val="000000"/>
      <w:kern w:val="16"/>
      <w:sz w:val="21"/>
      <w:lang w:eastAsia="en-US"/>
    </w:rPr>
  </w:style>
  <w:style w:type="paragraph" w:customStyle="1" w:styleId="Bullet1">
    <w:name w:val="Bullet 1"/>
    <w:pPr>
      <w:numPr>
        <w:numId w:val="4"/>
      </w:numPr>
      <w:suppressAutoHyphens/>
      <w:spacing w:after="120" w:line="280" w:lineRule="exact"/>
    </w:pPr>
    <w:rPr>
      <w:rFonts w:ascii="CG Omega" w:hAnsi="CG Omega"/>
      <w:color w:val="000000"/>
      <w:kern w:val="16"/>
      <w:sz w:val="21"/>
      <w:lang w:eastAsia="en-US"/>
    </w:rPr>
  </w:style>
  <w:style w:type="paragraph" w:customStyle="1" w:styleId="StyleTOCSectionheadNotBoldAuto">
    <w:name w:val="Style TOC Section head + Not Bold Auto"/>
    <w:basedOn w:val="TOCSectionhead"/>
    <w:rsid w:val="002A24E3"/>
    <w:rPr>
      <w:b w:val="0"/>
      <w:color w:val="auto"/>
    </w:rPr>
  </w:style>
  <w:style w:type="paragraph" w:customStyle="1" w:styleId="frontsub1">
    <w:name w:val="frontsub1"/>
    <w:basedOn w:val="sub1"/>
    <w:pPr>
      <w:tabs>
        <w:tab w:val="clear" w:pos="1134"/>
        <w:tab w:val="left" w:pos="1560"/>
      </w:tabs>
      <w:ind w:left="426" w:hanging="426"/>
    </w:pPr>
    <w:rPr>
      <w:b/>
      <w:bCs/>
      <w:lang w:val="en-GB"/>
    </w:rPr>
  </w:style>
  <w:style w:type="table" w:styleId="TableGrid">
    <w:name w:val="Table Grid"/>
    <w:basedOn w:val="TableNormal"/>
    <w:rsid w:val="00B5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3A41E8"/>
    <w:pPr>
      <w:spacing w:after="160" w:line="240" w:lineRule="exact"/>
    </w:pPr>
    <w:rPr>
      <w:rFonts w:ascii="Tahoma" w:hAnsi="Tahoma"/>
      <w:lang w:eastAsia="en-GB"/>
    </w:rPr>
  </w:style>
  <w:style w:type="paragraph" w:styleId="ListParagraph">
    <w:name w:val="List Paragraph"/>
    <w:basedOn w:val="Normal"/>
    <w:uiPriority w:val="34"/>
    <w:qFormat/>
    <w:rsid w:val="00F35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5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F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F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FD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(W1)" w:hAnsi="Times New (W1)"/>
      <w:b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(W1)" w:hAnsi="Arial (W1)"/>
      <w:b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G Times" w:hAnsi="CG Times"/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Subsubsecthead">
    <w:name w:val="TOC Subsubsect head"/>
    <w:pPr>
      <w:tabs>
        <w:tab w:val="right" w:leader="dot" w:pos="7370"/>
      </w:tabs>
      <w:spacing w:before="113"/>
      <w:ind w:left="850"/>
    </w:pPr>
    <w:rPr>
      <w:rFonts w:ascii="Arial" w:hAnsi="Arial"/>
      <w:snapToGrid w:val="0"/>
      <w:sz w:val="22"/>
      <w:lang w:eastAsia="en-US"/>
    </w:rPr>
  </w:style>
  <w:style w:type="paragraph" w:customStyle="1" w:styleId="Sub10">
    <w:name w:val="Sub 1"/>
    <w:basedOn w:val="Norm"/>
    <w:pPr>
      <w:spacing w:before="113"/>
      <w:ind w:left="1134" w:hanging="283"/>
    </w:pPr>
  </w:style>
  <w:style w:type="paragraph" w:customStyle="1" w:styleId="Norm">
    <w:name w:val="Norm"/>
    <w:rsid w:val="002A24E3"/>
    <w:pPr>
      <w:tabs>
        <w:tab w:val="left" w:pos="850"/>
      </w:tabs>
      <w:spacing w:before="227" w:line="280" w:lineRule="atLeast"/>
      <w:ind w:left="850" w:hanging="850"/>
    </w:pPr>
    <w:rPr>
      <w:rFonts w:ascii="Arial" w:hAnsi="Arial"/>
      <w:snapToGrid w:val="0"/>
      <w:sz w:val="24"/>
      <w:lang w:val="en-US" w:eastAsia="en-US"/>
    </w:rPr>
  </w:style>
  <w:style w:type="paragraph" w:customStyle="1" w:styleId="subsecthead">
    <w:name w:val="subsect head"/>
    <w:basedOn w:val="Sectionhead"/>
    <w:next w:val="Norm"/>
    <w:pPr>
      <w:tabs>
        <w:tab w:val="clear" w:pos="850"/>
      </w:tabs>
      <w:spacing w:after="57" w:line="240" w:lineRule="auto"/>
    </w:pPr>
    <w:rPr>
      <w:sz w:val="28"/>
      <w:lang w:val="en-GB"/>
    </w:rPr>
  </w:style>
  <w:style w:type="paragraph" w:customStyle="1" w:styleId="Sectionhead">
    <w:name w:val="Section head"/>
    <w:pPr>
      <w:tabs>
        <w:tab w:val="left" w:pos="850"/>
      </w:tabs>
      <w:spacing w:before="283" w:after="170" w:line="360" w:lineRule="atLeast"/>
    </w:pPr>
    <w:rPr>
      <w:rFonts w:ascii="Arial" w:hAnsi="Arial"/>
      <w:b/>
      <w:snapToGrid w:val="0"/>
      <w:sz w:val="32"/>
      <w:lang w:val="en-US" w:eastAsia="en-US"/>
    </w:rPr>
  </w:style>
  <w:style w:type="paragraph" w:customStyle="1" w:styleId="TOCSubsecthead">
    <w:name w:val="TOC Subsect head"/>
    <w:basedOn w:val="TOCSectionhead"/>
    <w:rsid w:val="002A24E3"/>
    <w:pPr>
      <w:tabs>
        <w:tab w:val="right" w:leader="dot" w:pos="7370"/>
      </w:tabs>
      <w:spacing w:before="113"/>
      <w:ind w:left="567"/>
    </w:pPr>
    <w:rPr>
      <w:b w:val="0"/>
      <w:color w:val="auto"/>
    </w:rPr>
  </w:style>
  <w:style w:type="paragraph" w:customStyle="1" w:styleId="TOCSectionhead">
    <w:name w:val="TOC Section head"/>
    <w:rsid w:val="002A24E3"/>
    <w:pPr>
      <w:tabs>
        <w:tab w:val="right" w:pos="7370"/>
      </w:tabs>
      <w:spacing w:before="283" w:line="280" w:lineRule="atLeast"/>
    </w:pPr>
    <w:rPr>
      <w:rFonts w:ascii="Arial" w:hAnsi="Arial"/>
      <w:b/>
      <w:snapToGrid w:val="0"/>
      <w:color w:val="000000"/>
      <w:sz w:val="24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ubsubsecthead">
    <w:name w:val="subsubsect head"/>
    <w:basedOn w:val="subsecthead"/>
    <w:rPr>
      <w:sz w:val="24"/>
    </w:rPr>
  </w:style>
  <w:style w:type="paragraph" w:customStyle="1" w:styleId="Sub2">
    <w:name w:val="Sub 2"/>
    <w:basedOn w:val="Norm"/>
    <w:pPr>
      <w:tabs>
        <w:tab w:val="clear" w:pos="850"/>
        <w:tab w:val="left" w:pos="1417"/>
        <w:tab w:val="left" w:pos="2835"/>
      </w:tabs>
      <w:spacing w:before="113"/>
      <w:ind w:left="1417" w:hanging="283"/>
    </w:pPr>
  </w:style>
  <w:style w:type="paragraph" w:customStyle="1" w:styleId="subsubsubsecthead">
    <w:name w:val="subsubsubsect head"/>
    <w:basedOn w:val="subsubsecthead"/>
    <w:next w:val="Norm"/>
    <w:pPr>
      <w:spacing w:line="240" w:lineRule="atLeast"/>
    </w:pPr>
    <w:rPr>
      <w:sz w:val="22"/>
    </w:rPr>
  </w:style>
  <w:style w:type="paragraph" w:customStyle="1" w:styleId="Examplerow">
    <w:name w:val="Example row"/>
    <w:basedOn w:val="Norm"/>
    <w:pPr>
      <w:tabs>
        <w:tab w:val="clear" w:pos="850"/>
      </w:tabs>
      <w:spacing w:before="170"/>
      <w:ind w:left="1134" w:right="283" w:firstLine="0"/>
    </w:pPr>
  </w:style>
  <w:style w:type="paragraph" w:customStyle="1" w:styleId="Descriptor">
    <w:name w:val="Descriptor"/>
    <w:basedOn w:val="Normal"/>
    <w:autoRedefine/>
    <w:rPr>
      <w:b/>
      <w:caps/>
      <w:kern w:val="28"/>
      <w:sz w:val="24"/>
    </w:rPr>
  </w:style>
  <w:style w:type="paragraph" w:customStyle="1" w:styleId="InsideAddressName">
    <w:name w:val="Inside Address Name"/>
    <w:basedOn w:val="Normal"/>
    <w:next w:val="Normal"/>
    <w:pPr>
      <w:spacing w:before="220"/>
      <w:ind w:left="835" w:right="-360"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BodyText">
    <w:name w:val="Body Text"/>
    <w:basedOn w:val="Normal"/>
    <w:pPr>
      <w:tabs>
        <w:tab w:val="left" w:pos="567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Bulletlist">
    <w:name w:val="Bullet list"/>
    <w:basedOn w:val="Normal"/>
    <w:pPr>
      <w:numPr>
        <w:numId w:val="1"/>
      </w:numPr>
      <w:spacing w:before="120" w:after="120" w:line="280" w:lineRule="atLeast"/>
      <w:ind w:left="357" w:hanging="357"/>
    </w:pPr>
    <w:rPr>
      <w:rFonts w:ascii="Arial" w:hAnsi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ub1">
    <w:name w:val="sub 1"/>
    <w:basedOn w:val="Norm"/>
    <w:pPr>
      <w:numPr>
        <w:numId w:val="2"/>
      </w:numPr>
      <w:tabs>
        <w:tab w:val="clear" w:pos="850"/>
        <w:tab w:val="left" w:pos="1134"/>
      </w:tabs>
      <w:spacing w:before="102" w:line="260" w:lineRule="atLeast"/>
      <w:ind w:left="1134" w:hanging="283"/>
    </w:pPr>
  </w:style>
  <w:style w:type="paragraph" w:styleId="BodyText2">
    <w:name w:val="Body Text 2"/>
    <w:basedOn w:val="Normal"/>
    <w:pPr>
      <w:suppressAutoHyphens/>
      <w:jc w:val="both"/>
    </w:pPr>
    <w:rPr>
      <w:rFonts w:ascii="Arial" w:hAnsi="Arial"/>
      <w:spacing w:val="-3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raph">
    <w:name w:val="Paragraph"/>
    <w:basedOn w:val="Normal"/>
    <w:autoRedefine/>
    <w:pPr>
      <w:jc w:val="center"/>
    </w:pPr>
    <w:rPr>
      <w:rFonts w:ascii="CG Times" w:hAnsi="CG Times"/>
      <w:b/>
      <w:caps/>
      <w:sz w:val="24"/>
    </w:rPr>
  </w:style>
  <w:style w:type="paragraph" w:customStyle="1" w:styleId="ReportBody4">
    <w:name w:val="Report Body 4"/>
    <w:pPr>
      <w:numPr>
        <w:numId w:val="3"/>
      </w:numPr>
      <w:tabs>
        <w:tab w:val="left" w:pos="425"/>
        <w:tab w:val="left" w:pos="539"/>
        <w:tab w:val="left" w:pos="652"/>
        <w:tab w:val="left" w:pos="765"/>
      </w:tabs>
      <w:suppressAutoHyphens/>
      <w:spacing w:after="120" w:line="290" w:lineRule="exact"/>
    </w:pPr>
    <w:rPr>
      <w:rFonts w:ascii="CG Omega" w:hAnsi="CG Omega"/>
      <w:color w:val="000000"/>
      <w:kern w:val="16"/>
      <w:sz w:val="21"/>
      <w:lang w:eastAsia="en-US"/>
    </w:rPr>
  </w:style>
  <w:style w:type="paragraph" w:customStyle="1" w:styleId="Bullet1">
    <w:name w:val="Bullet 1"/>
    <w:pPr>
      <w:numPr>
        <w:numId w:val="4"/>
      </w:numPr>
      <w:suppressAutoHyphens/>
      <w:spacing w:after="120" w:line="280" w:lineRule="exact"/>
    </w:pPr>
    <w:rPr>
      <w:rFonts w:ascii="CG Omega" w:hAnsi="CG Omega"/>
      <w:color w:val="000000"/>
      <w:kern w:val="16"/>
      <w:sz w:val="21"/>
      <w:lang w:eastAsia="en-US"/>
    </w:rPr>
  </w:style>
  <w:style w:type="paragraph" w:customStyle="1" w:styleId="StyleTOCSectionheadNotBoldAuto">
    <w:name w:val="Style TOC Section head + Not Bold Auto"/>
    <w:basedOn w:val="TOCSectionhead"/>
    <w:rsid w:val="002A24E3"/>
    <w:rPr>
      <w:b w:val="0"/>
      <w:color w:val="auto"/>
    </w:rPr>
  </w:style>
  <w:style w:type="paragraph" w:customStyle="1" w:styleId="frontsub1">
    <w:name w:val="frontsub1"/>
    <w:basedOn w:val="sub1"/>
    <w:pPr>
      <w:tabs>
        <w:tab w:val="clear" w:pos="1134"/>
        <w:tab w:val="left" w:pos="1560"/>
      </w:tabs>
      <w:ind w:left="426" w:hanging="426"/>
    </w:pPr>
    <w:rPr>
      <w:b/>
      <w:bCs/>
      <w:lang w:val="en-GB"/>
    </w:rPr>
  </w:style>
  <w:style w:type="table" w:styleId="TableGrid">
    <w:name w:val="Table Grid"/>
    <w:basedOn w:val="TableNormal"/>
    <w:rsid w:val="00B5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3A41E8"/>
    <w:pPr>
      <w:spacing w:after="160" w:line="240" w:lineRule="exact"/>
    </w:pPr>
    <w:rPr>
      <w:rFonts w:ascii="Tahoma" w:hAnsi="Tahoma"/>
      <w:lang w:eastAsia="en-GB"/>
    </w:rPr>
  </w:style>
  <w:style w:type="paragraph" w:styleId="ListParagraph">
    <w:name w:val="List Paragraph"/>
    <w:basedOn w:val="Normal"/>
    <w:uiPriority w:val="34"/>
    <w:qFormat/>
    <w:rsid w:val="00F35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5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F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F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FD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9C07-41A7-4857-9718-5D505412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1369CFAC</Template>
  <TotalTime>0</TotalTime>
  <Pages>2</Pages>
  <Words>391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Benefit and Council Tax Benefit Circular</vt:lpstr>
    </vt:vector>
  </TitlesOfParts>
  <Company>Corporate Document Services</Company>
  <LinksUpToDate>false</LinksUpToDate>
  <CharactersWithSpaces>2307</CharactersWithSpaces>
  <SharedDoc>false</SharedDoc>
  <HLinks>
    <vt:vector size="12" baseType="variant">
      <vt:variant>
        <vt:i4>458859</vt:i4>
      </vt:variant>
      <vt:variant>
        <vt:i4>3</vt:i4>
      </vt:variant>
      <vt:variant>
        <vt:i4>0</vt:i4>
      </vt:variant>
      <vt:variant>
        <vt:i4>5</vt:i4>
      </vt:variant>
      <vt:variant>
        <vt:lpwstr>mailto:housing.correspondenceandpqs@dwp.gsi.gov.uk</vt:lpwstr>
      </vt:variant>
      <vt:variant>
        <vt:lpwstr/>
      </vt:variant>
      <vt:variant>
        <vt:i4>5767178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https://www.gov.uk/government/collections/housing-benefit-for-local-authorities-circulars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Benefit and Council Tax Benefit Circular</dc:title>
  <dc:creator>Beresford George STRATEGY WORKING AGE BENEFITS</dc:creator>
  <cp:lastModifiedBy>Devlin, Stuart</cp:lastModifiedBy>
  <cp:revision>2</cp:revision>
  <cp:lastPrinted>2016-07-06T11:11:00Z</cp:lastPrinted>
  <dcterms:created xsi:type="dcterms:W3CDTF">2017-05-19T14:55:00Z</dcterms:created>
  <dcterms:modified xsi:type="dcterms:W3CDTF">2017-05-19T14:55:00Z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